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2E2C5" w14:textId="77777777" w:rsidR="00281246" w:rsidRPr="00E94510" w:rsidRDefault="00743AC7">
      <w:pPr>
        <w:widowControl w:val="0"/>
        <w:ind w:left="284" w:right="256"/>
        <w:rPr>
          <w:lang w:val="en-GB"/>
        </w:rPr>
      </w:pPr>
      <w:r w:rsidRPr="00E94510">
        <w:rPr>
          <w:lang w:val="en-GB"/>
        </w:rPr>
        <w:t xml:space="preserve">  </w:t>
      </w:r>
    </w:p>
    <w:p w14:paraId="549F1B1A" w14:textId="05819453" w:rsidR="00281246" w:rsidRPr="00E94510" w:rsidRDefault="001E7EE9" w:rsidP="000C2157">
      <w:pPr>
        <w:widowControl w:val="0"/>
        <w:jc w:val="center"/>
        <w:rPr>
          <w:b/>
          <w:sz w:val="24"/>
          <w:szCs w:val="24"/>
          <w:u w:val="single"/>
          <w:lang w:val="en-GB"/>
        </w:rPr>
      </w:pPr>
      <w:r>
        <w:rPr>
          <w:b/>
          <w:sz w:val="24"/>
          <w:szCs w:val="24"/>
          <w:u w:val="single"/>
          <w:lang w:val="en-GB"/>
        </w:rPr>
        <w:t xml:space="preserve">ADVICE - </w:t>
      </w:r>
      <w:r w:rsidR="00743AC7" w:rsidRPr="00E94510">
        <w:rPr>
          <w:b/>
          <w:sz w:val="24"/>
          <w:szCs w:val="24"/>
          <w:u w:val="single"/>
          <w:lang w:val="en-GB"/>
        </w:rPr>
        <w:t xml:space="preserve">OPINION </w:t>
      </w:r>
    </w:p>
    <w:p w14:paraId="7BF49A93" w14:textId="5E92916F" w:rsidR="00281246" w:rsidRPr="00E94510" w:rsidRDefault="00743AC7" w:rsidP="000C2157">
      <w:pPr>
        <w:widowControl w:val="0"/>
        <w:jc w:val="center"/>
        <w:rPr>
          <w:b/>
          <w:sz w:val="24"/>
          <w:szCs w:val="24"/>
          <w:u w:val="single"/>
          <w:lang w:val="en-GB"/>
        </w:rPr>
      </w:pPr>
      <w:r w:rsidRPr="00E94510">
        <w:rPr>
          <w:b/>
          <w:sz w:val="24"/>
          <w:szCs w:val="24"/>
          <w:u w:val="single"/>
          <w:lang w:val="en-GB"/>
        </w:rPr>
        <w:t>LDAC Recommendations for a Level Playing Field</w:t>
      </w:r>
      <w:r w:rsidR="001E7EE9">
        <w:rPr>
          <w:b/>
          <w:sz w:val="24"/>
          <w:szCs w:val="24"/>
          <w:u w:val="single"/>
          <w:lang w:val="en-GB"/>
        </w:rPr>
        <w:t xml:space="preserve"> for EU and non-EU fish products</w:t>
      </w:r>
    </w:p>
    <w:p w14:paraId="7B7734BC" w14:textId="77777777" w:rsidR="001E7EE9" w:rsidRDefault="001E7EE9" w:rsidP="000C2157">
      <w:pPr>
        <w:spacing w:after="0"/>
        <w:jc w:val="right"/>
        <w:rPr>
          <w:rFonts w:eastAsia="Cambria"/>
          <w:bCs/>
          <w:lang w:val="en-GB"/>
        </w:rPr>
      </w:pPr>
    </w:p>
    <w:p w14:paraId="5DC0C1DA" w14:textId="68B33D79" w:rsidR="000C2157" w:rsidRPr="001E7EE9" w:rsidRDefault="000C2157" w:rsidP="000C2157">
      <w:pPr>
        <w:spacing w:after="0"/>
        <w:jc w:val="right"/>
        <w:rPr>
          <w:rFonts w:eastAsia="Cambria"/>
          <w:bCs/>
          <w:sz w:val="24"/>
          <w:szCs w:val="24"/>
          <w:lang w:val="en-GB"/>
        </w:rPr>
      </w:pPr>
      <w:r w:rsidRPr="001E7EE9">
        <w:rPr>
          <w:rFonts w:eastAsia="Cambria"/>
          <w:bCs/>
          <w:sz w:val="24"/>
          <w:szCs w:val="24"/>
          <w:lang w:val="en-GB"/>
        </w:rPr>
        <w:t>Original</w:t>
      </w:r>
      <w:r w:rsidR="001E7EE9" w:rsidRPr="001E7EE9">
        <w:rPr>
          <w:rFonts w:eastAsia="Cambria"/>
          <w:bCs/>
          <w:sz w:val="24"/>
          <w:szCs w:val="24"/>
          <w:lang w:val="en-GB"/>
        </w:rPr>
        <w:t xml:space="preserve"> language of </w:t>
      </w:r>
      <w:r w:rsidRPr="001E7EE9">
        <w:rPr>
          <w:rFonts w:eastAsia="Cambria"/>
          <w:bCs/>
          <w:sz w:val="24"/>
          <w:szCs w:val="24"/>
          <w:lang w:val="en-GB"/>
        </w:rPr>
        <w:t>draft: English</w:t>
      </w:r>
    </w:p>
    <w:p w14:paraId="46D9B524" w14:textId="7600BB02" w:rsidR="000C2157" w:rsidRPr="001E7EE9" w:rsidRDefault="000C2157" w:rsidP="000C2157">
      <w:pPr>
        <w:spacing w:after="0"/>
        <w:jc w:val="right"/>
        <w:rPr>
          <w:rFonts w:eastAsia="Cambria"/>
          <w:bCs/>
          <w:sz w:val="24"/>
          <w:szCs w:val="24"/>
          <w:lang w:val="en-GB"/>
        </w:rPr>
      </w:pPr>
      <w:r w:rsidRPr="001E7EE9">
        <w:rPr>
          <w:rFonts w:eastAsia="Cambria"/>
          <w:bCs/>
          <w:sz w:val="24"/>
          <w:szCs w:val="24"/>
          <w:lang w:val="en-GB"/>
        </w:rPr>
        <w:t>Ref: R-03-21/WG5</w:t>
      </w:r>
    </w:p>
    <w:p w14:paraId="290703F7" w14:textId="35648172" w:rsidR="000C2157" w:rsidRPr="001E7EE9" w:rsidRDefault="000C2157" w:rsidP="000C2157">
      <w:pPr>
        <w:spacing w:after="0"/>
        <w:jc w:val="right"/>
        <w:rPr>
          <w:rFonts w:eastAsia="Cambria"/>
          <w:bCs/>
          <w:sz w:val="24"/>
          <w:szCs w:val="24"/>
          <w:lang w:val="en-GB"/>
        </w:rPr>
      </w:pPr>
      <w:r w:rsidRPr="001E7EE9">
        <w:rPr>
          <w:rFonts w:eastAsia="Cambria"/>
          <w:bCs/>
          <w:sz w:val="24"/>
          <w:szCs w:val="24"/>
          <w:lang w:val="en-GB"/>
        </w:rPr>
        <w:t xml:space="preserve">Status: </w:t>
      </w:r>
      <w:r w:rsidR="001A2916" w:rsidRPr="001E7EE9">
        <w:rPr>
          <w:rFonts w:eastAsia="Cambria"/>
          <w:bCs/>
          <w:sz w:val="24"/>
          <w:szCs w:val="24"/>
          <w:lang w:val="en-GB"/>
        </w:rPr>
        <w:t>A</w:t>
      </w:r>
      <w:r w:rsidRPr="001E7EE9">
        <w:rPr>
          <w:rFonts w:eastAsia="Cambria"/>
          <w:bCs/>
          <w:sz w:val="24"/>
          <w:szCs w:val="24"/>
          <w:lang w:val="en-GB"/>
        </w:rPr>
        <w:t>pproved</w:t>
      </w:r>
    </w:p>
    <w:p w14:paraId="0D2FE510" w14:textId="43437A8C" w:rsidR="000C2157" w:rsidRPr="001E7EE9" w:rsidRDefault="000C2157" w:rsidP="000C2157">
      <w:pPr>
        <w:spacing w:after="0"/>
        <w:jc w:val="right"/>
        <w:rPr>
          <w:rFonts w:eastAsia="Cambria"/>
          <w:bCs/>
          <w:sz w:val="24"/>
          <w:szCs w:val="24"/>
          <w:lang w:val="en-GB"/>
        </w:rPr>
      </w:pPr>
      <w:r w:rsidRPr="001E7EE9">
        <w:rPr>
          <w:rFonts w:eastAsia="Cambria"/>
          <w:bCs/>
          <w:sz w:val="24"/>
          <w:szCs w:val="24"/>
          <w:lang w:val="en-GB"/>
        </w:rPr>
        <w:t xml:space="preserve">Date of approval: </w:t>
      </w:r>
      <w:r w:rsidR="0072480F" w:rsidRPr="001E7EE9">
        <w:rPr>
          <w:rFonts w:eastAsia="Cambria"/>
          <w:bCs/>
          <w:sz w:val="24"/>
          <w:szCs w:val="24"/>
          <w:lang w:val="en-GB"/>
        </w:rPr>
        <w:t>2</w:t>
      </w:r>
      <w:r w:rsidR="001A2916" w:rsidRPr="001E7EE9">
        <w:rPr>
          <w:rFonts w:eastAsia="Cambria"/>
          <w:bCs/>
          <w:sz w:val="24"/>
          <w:szCs w:val="24"/>
          <w:lang w:val="en-GB"/>
        </w:rPr>
        <w:t>5</w:t>
      </w:r>
      <w:r w:rsidR="0072480F" w:rsidRPr="001E7EE9">
        <w:rPr>
          <w:rFonts w:eastAsia="Cambria"/>
          <w:bCs/>
          <w:sz w:val="24"/>
          <w:szCs w:val="24"/>
          <w:lang w:val="en-GB"/>
        </w:rPr>
        <w:t xml:space="preserve"> May 2021</w:t>
      </w:r>
    </w:p>
    <w:p w14:paraId="053E6908" w14:textId="77777777" w:rsidR="000C2157" w:rsidRPr="00E94510" w:rsidRDefault="000C2157">
      <w:pPr>
        <w:widowControl w:val="0"/>
        <w:jc w:val="center"/>
        <w:rPr>
          <w:b/>
          <w:sz w:val="24"/>
          <w:szCs w:val="24"/>
          <w:u w:val="single"/>
          <w:lang w:val="en-GB"/>
        </w:rPr>
      </w:pPr>
    </w:p>
    <w:p w14:paraId="7525A967" w14:textId="77777777" w:rsidR="00281246" w:rsidRPr="00E94510" w:rsidRDefault="00281246">
      <w:pPr>
        <w:widowControl w:val="0"/>
        <w:ind w:left="720"/>
        <w:rPr>
          <w:b/>
          <w:lang w:val="en-GB"/>
        </w:rPr>
      </w:pPr>
    </w:p>
    <w:p w14:paraId="40E0C8A2" w14:textId="77777777" w:rsidR="00281246" w:rsidRPr="00E94510" w:rsidRDefault="00281246">
      <w:pPr>
        <w:widowControl w:val="0"/>
        <w:ind w:left="720"/>
        <w:rPr>
          <w:b/>
          <w:lang w:val="en-GB"/>
        </w:rPr>
      </w:pPr>
    </w:p>
    <w:p w14:paraId="0A7DBE34" w14:textId="77777777" w:rsidR="00281246" w:rsidRPr="00E94510" w:rsidRDefault="00743AC7">
      <w:pPr>
        <w:widowControl w:val="0"/>
        <w:rPr>
          <w:lang w:val="en-GB"/>
        </w:rPr>
      </w:pPr>
      <w:r w:rsidRPr="00E94510">
        <w:rPr>
          <w:b/>
          <w:u w:val="single"/>
          <w:lang w:val="en-GB"/>
        </w:rPr>
        <w:t>Aim of the document</w:t>
      </w:r>
      <w:r w:rsidRPr="00E94510">
        <w:rPr>
          <w:b/>
          <w:lang w:val="en-GB"/>
        </w:rPr>
        <w:t>:</w:t>
      </w:r>
    </w:p>
    <w:p w14:paraId="20E923A4" w14:textId="77777777" w:rsidR="00C63244" w:rsidRDefault="00C63244">
      <w:pPr>
        <w:widowControl w:val="0"/>
        <w:rPr>
          <w:lang w:val="en-GB"/>
        </w:rPr>
      </w:pPr>
    </w:p>
    <w:p w14:paraId="14F69215" w14:textId="14EE9C26" w:rsidR="00281246" w:rsidRPr="00E94510" w:rsidRDefault="00743AC7">
      <w:pPr>
        <w:widowControl w:val="0"/>
        <w:rPr>
          <w:lang w:val="en-GB"/>
        </w:rPr>
      </w:pPr>
      <w:r w:rsidRPr="00E94510">
        <w:rPr>
          <w:lang w:val="en-GB"/>
        </w:rPr>
        <w:t>The LDAC wishes to highlight areas and factors affecting the level playing field (LPF) for EU external fishing operations with reference to the implementation of the United Nations Sustainable Development Goals (SDGs) and key EU policies; as well as positions expressed by the LDAC and other advisory councils. We will also identify recommendations that could be used as basic guidelines for the future, and that could contribute to the revision of the external dimension of the Common Fisheries Policy (CFP).</w:t>
      </w:r>
    </w:p>
    <w:p w14:paraId="524EE427" w14:textId="327EB156" w:rsidR="00281246" w:rsidRPr="00E94510" w:rsidRDefault="00743AC7">
      <w:pPr>
        <w:widowControl w:val="0"/>
        <w:rPr>
          <w:lang w:val="en-GB"/>
        </w:rPr>
      </w:pPr>
      <w:r w:rsidRPr="004B3125">
        <w:rPr>
          <w:highlight w:val="yellow"/>
          <w:lang w:val="en-GB"/>
        </w:rPr>
        <w:t>To achieve sustainable development in the whole fisheries production chain, including the sustainability of the fisheries stocks and the conservation of a healthy environment, it is, in a cross-cutting way, fundamental to ensure a fair competition between the EU and third country’s producers, abiding by similar sustainability rules in different areas as well as to encourage the ratification, transposition and implementation of international legal instruments and conventions.</w:t>
      </w:r>
    </w:p>
    <w:p w14:paraId="379392AC" w14:textId="77777777" w:rsidR="00281246" w:rsidRPr="00E94510" w:rsidRDefault="00743AC7">
      <w:pPr>
        <w:widowControl w:val="0"/>
        <w:rPr>
          <w:lang w:val="en-GB"/>
        </w:rPr>
      </w:pPr>
      <w:r w:rsidRPr="00E94510">
        <w:rPr>
          <w:lang w:val="en-GB"/>
        </w:rPr>
        <w:t xml:space="preserve">It is of note that some topics affecting the level playing field (LPF) for EU external fishing operations may not be covered by this opinion. In this context, the LDAC wishes to acknowledge that </w:t>
      </w:r>
      <w:r w:rsidRPr="004B3125">
        <w:rPr>
          <w:highlight w:val="yellow"/>
          <w:lang w:val="en-GB"/>
        </w:rPr>
        <w:t>while the different sectors of the blue economy have their own specificities that justify specific policies, their cohabitation raises important challenges like the increasing competition for space, the cumulative impact of activities at sea. More than ever, there is a need for cross-sectoral approaches and collective efforts to ensure a sustainable future for fisheries, and fishing communities, as a key sector of the blue economy</w:t>
      </w:r>
      <w:r w:rsidRPr="00E94510">
        <w:rPr>
          <w:vertAlign w:val="superscript"/>
          <w:lang w:val="en-GB"/>
        </w:rPr>
        <w:footnoteReference w:id="1"/>
      </w:r>
      <w:r w:rsidRPr="00E94510">
        <w:rPr>
          <w:lang w:val="en-GB"/>
        </w:rPr>
        <w:t>,</w:t>
      </w:r>
      <w:r w:rsidRPr="00E94510">
        <w:rPr>
          <w:vertAlign w:val="superscript"/>
          <w:lang w:val="en-GB"/>
        </w:rPr>
        <w:footnoteReference w:id="2"/>
      </w:r>
      <w:r w:rsidRPr="00E94510">
        <w:rPr>
          <w:lang w:val="en-GB"/>
        </w:rPr>
        <w:t xml:space="preserve">. </w:t>
      </w:r>
    </w:p>
    <w:p w14:paraId="336E968B" w14:textId="77777777" w:rsidR="00281246" w:rsidRPr="00E94510" w:rsidRDefault="00281246">
      <w:pPr>
        <w:widowControl w:val="0"/>
        <w:ind w:left="220"/>
        <w:rPr>
          <w:lang w:val="en-GB"/>
        </w:rPr>
      </w:pPr>
    </w:p>
    <w:p w14:paraId="349225F8" w14:textId="77777777" w:rsidR="00281246" w:rsidRPr="00E94510" w:rsidRDefault="00281246">
      <w:pPr>
        <w:widowControl w:val="0"/>
        <w:rPr>
          <w:b/>
          <w:u w:val="single"/>
          <w:lang w:val="en-GB"/>
        </w:rPr>
      </w:pPr>
    </w:p>
    <w:p w14:paraId="65C75BE8" w14:textId="77777777" w:rsidR="00281246" w:rsidRPr="00E94510" w:rsidRDefault="00743AC7">
      <w:pPr>
        <w:widowControl w:val="0"/>
        <w:rPr>
          <w:b/>
          <w:u w:val="single"/>
          <w:lang w:val="en-GB"/>
        </w:rPr>
      </w:pPr>
      <w:r w:rsidRPr="00E94510">
        <w:rPr>
          <w:lang w:val="en-GB"/>
        </w:rPr>
        <w:br w:type="page"/>
      </w:r>
    </w:p>
    <w:p w14:paraId="4B908416" w14:textId="77777777" w:rsidR="001A2916" w:rsidRDefault="001A2916">
      <w:pPr>
        <w:widowControl w:val="0"/>
        <w:rPr>
          <w:b/>
          <w:u w:val="single"/>
          <w:lang w:val="en-GB"/>
        </w:rPr>
      </w:pPr>
    </w:p>
    <w:p w14:paraId="56853CC9" w14:textId="77777777" w:rsidR="001A2916" w:rsidRDefault="001A2916">
      <w:pPr>
        <w:widowControl w:val="0"/>
        <w:rPr>
          <w:b/>
          <w:u w:val="single"/>
          <w:lang w:val="en-GB"/>
        </w:rPr>
      </w:pPr>
    </w:p>
    <w:p w14:paraId="2C1DB1B1" w14:textId="5079C130" w:rsidR="00281246" w:rsidRPr="00E94510" w:rsidRDefault="00743AC7">
      <w:pPr>
        <w:widowControl w:val="0"/>
        <w:rPr>
          <w:b/>
          <w:i/>
          <w:lang w:val="en-GB"/>
        </w:rPr>
      </w:pPr>
      <w:r w:rsidRPr="00E94510">
        <w:rPr>
          <w:b/>
          <w:u w:val="single"/>
          <w:lang w:val="en-GB"/>
        </w:rPr>
        <w:t xml:space="preserve">Definition and basis of </w:t>
      </w:r>
      <w:r w:rsidR="00E2272E">
        <w:rPr>
          <w:b/>
          <w:u w:val="single"/>
          <w:lang w:val="en-GB"/>
        </w:rPr>
        <w:t>l</w:t>
      </w:r>
      <w:r w:rsidRPr="00E94510">
        <w:rPr>
          <w:b/>
          <w:u w:val="single"/>
          <w:lang w:val="en-GB"/>
        </w:rPr>
        <w:t>evel playing field</w:t>
      </w:r>
      <w:r w:rsidR="00E2272E">
        <w:rPr>
          <w:b/>
          <w:u w:val="single"/>
          <w:lang w:val="en-GB"/>
        </w:rPr>
        <w:t xml:space="preserve"> (LPF)</w:t>
      </w:r>
      <w:r w:rsidRPr="00E94510">
        <w:rPr>
          <w:b/>
          <w:u w:val="single"/>
          <w:lang w:val="en-GB"/>
        </w:rPr>
        <w:t xml:space="preserve"> in the international fisheries production</w:t>
      </w:r>
      <w:r w:rsidRPr="00E94510">
        <w:rPr>
          <w:vertAlign w:val="superscript"/>
          <w:lang w:val="en-GB"/>
        </w:rPr>
        <w:footnoteReference w:id="3"/>
      </w:r>
      <w:r w:rsidRPr="00E94510">
        <w:rPr>
          <w:b/>
          <w:u w:val="single"/>
          <w:lang w:val="en-GB"/>
        </w:rPr>
        <w:t>:</w:t>
      </w:r>
    </w:p>
    <w:p w14:paraId="0A36A80C" w14:textId="77777777" w:rsidR="00281246" w:rsidRPr="00E94510" w:rsidRDefault="00743AC7">
      <w:pPr>
        <w:widowControl w:val="0"/>
        <w:rPr>
          <w:i/>
          <w:lang w:val="en-GB"/>
        </w:rPr>
      </w:pPr>
      <w:r w:rsidRPr="00E94510">
        <w:rPr>
          <w:b/>
          <w:i/>
          <w:lang w:val="en-GB"/>
        </w:rPr>
        <w:t>“Level playing field</w:t>
      </w:r>
      <w:r w:rsidRPr="00E94510">
        <w:rPr>
          <w:i/>
          <w:lang w:val="en-GB"/>
        </w:rPr>
        <w:t xml:space="preserve"> is a concept describing the situation where </w:t>
      </w:r>
      <w:r w:rsidRPr="002D11F1">
        <w:rPr>
          <w:i/>
          <w:highlight w:val="yellow"/>
          <w:lang w:val="en-GB"/>
        </w:rPr>
        <w:t>each and every one of the participants in a specific activity has the same opportunities to be successful</w:t>
      </w:r>
      <w:r w:rsidRPr="00E94510">
        <w:rPr>
          <w:i/>
          <w:lang w:val="en-GB"/>
        </w:rPr>
        <w:t xml:space="preserve">. In the world of international trade, the level playing field is based on the </w:t>
      </w:r>
      <w:r w:rsidRPr="002D11F1">
        <w:rPr>
          <w:i/>
          <w:highlight w:val="yellow"/>
          <w:lang w:val="en-GB"/>
        </w:rPr>
        <w:t>concept of fairness</w:t>
      </w:r>
      <w:r w:rsidRPr="00E94510">
        <w:rPr>
          <w:i/>
          <w:lang w:val="en-GB"/>
        </w:rPr>
        <w:t xml:space="preserve">, in the sense that </w:t>
      </w:r>
      <w:r w:rsidRPr="002D11F1">
        <w:rPr>
          <w:i/>
          <w:highlight w:val="yellow"/>
          <w:lang w:val="en-GB"/>
        </w:rPr>
        <w:t>economic actors have to operate subject to the same rules</w:t>
      </w:r>
      <w:r w:rsidRPr="00E94510">
        <w:rPr>
          <w:i/>
          <w:lang w:val="en-GB"/>
        </w:rPr>
        <w:t>…</w:t>
      </w:r>
    </w:p>
    <w:p w14:paraId="6DD9988B" w14:textId="35201EDC" w:rsidR="00281246" w:rsidRPr="00E94510" w:rsidRDefault="00743AC7">
      <w:pPr>
        <w:widowControl w:val="0"/>
        <w:rPr>
          <w:i/>
          <w:lang w:val="en-GB"/>
        </w:rPr>
      </w:pPr>
      <w:r w:rsidRPr="00E94510">
        <w:rPr>
          <w:i/>
          <w:lang w:val="en-GB"/>
        </w:rPr>
        <w:t>…Failure to comply with ground rules leads to an imbalance where the compliant party loses competitiveness vis-à-vis the negligent one. Thus, the core of fair trade requires the existence of a level playing field as a conditio</w:t>
      </w:r>
      <w:r w:rsidR="003F7BB1">
        <w:rPr>
          <w:i/>
          <w:lang w:val="en-GB"/>
        </w:rPr>
        <w:t>n</w:t>
      </w:r>
      <w:r w:rsidRPr="00E94510">
        <w:rPr>
          <w:i/>
          <w:lang w:val="en-GB"/>
        </w:rPr>
        <w:t xml:space="preserve"> sine qua non”.  </w:t>
      </w:r>
    </w:p>
    <w:p w14:paraId="4FBDF193" w14:textId="77777777" w:rsidR="00281246" w:rsidRPr="00E94510" w:rsidRDefault="00743AC7">
      <w:pPr>
        <w:widowControl w:val="0"/>
        <w:rPr>
          <w:i/>
          <w:lang w:val="en-GB"/>
        </w:rPr>
      </w:pPr>
      <w:r w:rsidRPr="00E94510">
        <w:rPr>
          <w:i/>
          <w:lang w:val="en-GB"/>
        </w:rPr>
        <w:t xml:space="preserve">“The basis for a level playing field in the international fisheries production lies on the rules of an international trading system, and from the point of view of European producers, attention should be drawn to three international organisations that are at the forefront of the defence of fair competition in its wider sense: the World Trade Organisation (WTO), the United Nations (UN) and the EU itself”. </w:t>
      </w:r>
    </w:p>
    <w:p w14:paraId="44E96F97" w14:textId="1DC13E96" w:rsidR="00281246" w:rsidRPr="00E94510" w:rsidRDefault="00743AC7">
      <w:pPr>
        <w:widowControl w:val="0"/>
        <w:rPr>
          <w:b/>
          <w:u w:val="single"/>
          <w:lang w:val="en-GB"/>
        </w:rPr>
      </w:pPr>
      <w:r w:rsidRPr="00E94510">
        <w:rPr>
          <w:lang w:val="en-GB"/>
        </w:rPr>
        <w:t xml:space="preserve">Where needed, </w:t>
      </w:r>
      <w:r w:rsidR="00E2272E">
        <w:rPr>
          <w:lang w:val="en-GB"/>
        </w:rPr>
        <w:t>this document will make a</w:t>
      </w:r>
      <w:r w:rsidRPr="00E94510">
        <w:rPr>
          <w:lang w:val="en-GB"/>
        </w:rPr>
        <w:t xml:space="preserve"> differentiation between</w:t>
      </w:r>
      <w:r w:rsidR="00E2272E">
        <w:rPr>
          <w:lang w:val="en-GB"/>
        </w:rPr>
        <w:t xml:space="preserve"> level playing field at the </w:t>
      </w:r>
      <w:r w:rsidRPr="00E94510">
        <w:rPr>
          <w:lang w:val="en-GB"/>
        </w:rPr>
        <w:t>internal (differences between EU Member States) and external (EU flag/Member States versus non-EU countries)</w:t>
      </w:r>
      <w:r w:rsidR="00E2272E">
        <w:rPr>
          <w:lang w:val="en-GB"/>
        </w:rPr>
        <w:t>.</w:t>
      </w:r>
    </w:p>
    <w:p w14:paraId="4A6ACFDE" w14:textId="77777777" w:rsidR="00281246" w:rsidRPr="00E94510" w:rsidRDefault="00743AC7">
      <w:pPr>
        <w:widowControl w:val="0"/>
        <w:rPr>
          <w:b/>
          <w:lang w:val="en-GB"/>
        </w:rPr>
      </w:pPr>
      <w:r w:rsidRPr="00E94510">
        <w:rPr>
          <w:b/>
          <w:u w:val="single"/>
          <w:lang w:val="en-GB"/>
        </w:rPr>
        <w:t>Target audience and Structure</w:t>
      </w:r>
      <w:r w:rsidRPr="00E94510">
        <w:rPr>
          <w:b/>
          <w:lang w:val="en-GB"/>
        </w:rPr>
        <w:t>:</w:t>
      </w:r>
    </w:p>
    <w:p w14:paraId="7EB55395" w14:textId="0927BCC7" w:rsidR="00281246" w:rsidRPr="00E94510" w:rsidRDefault="00743AC7">
      <w:pPr>
        <w:widowControl w:val="0"/>
        <w:numPr>
          <w:ilvl w:val="0"/>
          <w:numId w:val="2"/>
        </w:numPr>
        <w:spacing w:after="0"/>
        <w:rPr>
          <w:highlight w:val="white"/>
          <w:lang w:val="en-GB"/>
        </w:rPr>
      </w:pPr>
      <w:r w:rsidRPr="00E94510">
        <w:rPr>
          <w:b/>
          <w:highlight w:val="white"/>
          <w:lang w:val="en-GB"/>
        </w:rPr>
        <w:t>Target audience</w:t>
      </w:r>
      <w:r w:rsidRPr="00E94510">
        <w:rPr>
          <w:highlight w:val="white"/>
          <w:lang w:val="en-GB"/>
        </w:rPr>
        <w:t>: European institutions and Member States</w:t>
      </w:r>
      <w:r w:rsidR="00E2272E">
        <w:rPr>
          <w:highlight w:val="white"/>
          <w:lang w:val="en-GB"/>
        </w:rPr>
        <w:t>, Advisory Councils</w:t>
      </w:r>
    </w:p>
    <w:p w14:paraId="0D547677" w14:textId="77777777" w:rsidR="00281246" w:rsidRPr="00E94510" w:rsidRDefault="00743AC7">
      <w:pPr>
        <w:widowControl w:val="0"/>
        <w:numPr>
          <w:ilvl w:val="0"/>
          <w:numId w:val="2"/>
        </w:numPr>
        <w:spacing w:after="0"/>
        <w:rPr>
          <w:lang w:val="en-GB"/>
        </w:rPr>
      </w:pPr>
      <w:r w:rsidRPr="00E94510">
        <w:rPr>
          <w:b/>
          <w:lang w:val="en-GB"/>
        </w:rPr>
        <w:t xml:space="preserve">Structure: </w:t>
      </w:r>
      <w:r w:rsidRPr="00E94510">
        <w:rPr>
          <w:lang w:val="en-GB"/>
        </w:rPr>
        <w:t>Each concrete area identified will be in a separate Chapter and will include relevant aspects with specific recommendations.</w:t>
      </w:r>
    </w:p>
    <w:p w14:paraId="7C51661A" w14:textId="77777777" w:rsidR="00281246" w:rsidRPr="00E94510" w:rsidRDefault="00281246">
      <w:pPr>
        <w:widowControl w:val="0"/>
        <w:rPr>
          <w:lang w:val="en-GB"/>
        </w:rPr>
      </w:pPr>
    </w:p>
    <w:p w14:paraId="59C70076" w14:textId="77777777" w:rsidR="00281246" w:rsidRPr="00E94510" w:rsidRDefault="00743AC7">
      <w:pPr>
        <w:widowControl w:val="0"/>
        <w:spacing w:after="0"/>
        <w:ind w:left="720"/>
        <w:rPr>
          <w:lang w:val="en-GB"/>
        </w:rPr>
      </w:pPr>
      <w:r w:rsidRPr="00E94510">
        <w:rPr>
          <w:lang w:val="en-GB"/>
        </w:rPr>
        <w:br w:type="page"/>
      </w:r>
    </w:p>
    <w:p w14:paraId="42698303" w14:textId="77777777" w:rsidR="00281246" w:rsidRPr="00E94510" w:rsidRDefault="00281246">
      <w:pPr>
        <w:widowControl w:val="0"/>
        <w:spacing w:after="0"/>
        <w:ind w:left="720"/>
        <w:rPr>
          <w:lang w:val="en-GB"/>
        </w:rPr>
      </w:pPr>
    </w:p>
    <w:p w14:paraId="47B2C6BA" w14:textId="456604BA" w:rsidR="00EE232F" w:rsidRDefault="00743AC7" w:rsidP="00EE232F">
      <w:pPr>
        <w:widowControl w:val="0"/>
        <w:pBdr>
          <w:top w:val="single" w:sz="4" w:space="1" w:color="000000"/>
          <w:left w:val="single" w:sz="4" w:space="4" w:color="000000"/>
          <w:bottom w:val="single" w:sz="4" w:space="1" w:color="000000"/>
          <w:right w:val="single" w:sz="4" w:space="24" w:color="000000"/>
        </w:pBdr>
        <w:spacing w:after="0"/>
        <w:ind w:left="220" w:firstLine="500"/>
        <w:jc w:val="center"/>
        <w:rPr>
          <w:b/>
          <w:lang w:val="en-GB"/>
        </w:rPr>
      </w:pPr>
      <w:r w:rsidRPr="00E94510">
        <w:rPr>
          <w:b/>
          <w:lang w:val="en-GB"/>
        </w:rPr>
        <w:t>INDEX</w:t>
      </w:r>
    </w:p>
    <w:p w14:paraId="75D01F9F" w14:textId="77777777" w:rsidR="00EE232F" w:rsidRPr="00E94510" w:rsidRDefault="00EE232F" w:rsidP="00EE232F">
      <w:pPr>
        <w:widowControl w:val="0"/>
        <w:pBdr>
          <w:top w:val="single" w:sz="4" w:space="1" w:color="000000"/>
          <w:left w:val="single" w:sz="4" w:space="4" w:color="000000"/>
          <w:bottom w:val="single" w:sz="4" w:space="1" w:color="000000"/>
          <w:right w:val="single" w:sz="4" w:space="24" w:color="000000"/>
        </w:pBdr>
        <w:spacing w:after="0"/>
        <w:ind w:left="220" w:firstLine="500"/>
        <w:jc w:val="center"/>
        <w:rPr>
          <w:b/>
          <w:lang w:val="en-GB"/>
        </w:rPr>
      </w:pPr>
    </w:p>
    <w:p w14:paraId="416F4115" w14:textId="296089AC" w:rsidR="00EE232F" w:rsidRDefault="00743AC7" w:rsidP="00EE232F">
      <w:pPr>
        <w:widowControl w:val="0"/>
        <w:pBdr>
          <w:top w:val="single" w:sz="4" w:space="1" w:color="000000"/>
          <w:left w:val="single" w:sz="4" w:space="4" w:color="000000"/>
          <w:bottom w:val="single" w:sz="4" w:space="1" w:color="000000"/>
          <w:right w:val="single" w:sz="4" w:space="24" w:color="000000"/>
        </w:pBdr>
        <w:spacing w:after="0"/>
        <w:ind w:left="220"/>
        <w:rPr>
          <w:b/>
          <w:u w:val="single"/>
          <w:lang w:val="en-GB"/>
        </w:rPr>
      </w:pPr>
      <w:r w:rsidRPr="00E94510">
        <w:rPr>
          <w:b/>
          <w:u w:val="single"/>
          <w:lang w:val="en-GB"/>
        </w:rPr>
        <w:t>E</w:t>
      </w:r>
      <w:r w:rsidR="001E7EE9">
        <w:rPr>
          <w:b/>
          <w:u w:val="single"/>
          <w:lang w:val="en-GB"/>
        </w:rPr>
        <w:t>XECUTIVE SUMMARY</w:t>
      </w:r>
      <w:r w:rsidRPr="00E94510">
        <w:rPr>
          <w:b/>
          <w:u w:val="single"/>
          <w:lang w:val="en-GB"/>
        </w:rPr>
        <w:t xml:space="preserve"> </w:t>
      </w:r>
    </w:p>
    <w:p w14:paraId="53E5A4D5" w14:textId="77777777" w:rsidR="00EE232F" w:rsidRDefault="00EE232F" w:rsidP="00EE232F">
      <w:pPr>
        <w:widowControl w:val="0"/>
        <w:pBdr>
          <w:top w:val="single" w:sz="4" w:space="1" w:color="000000"/>
          <w:left w:val="single" w:sz="4" w:space="4" w:color="000000"/>
          <w:bottom w:val="single" w:sz="4" w:space="1" w:color="000000"/>
          <w:right w:val="single" w:sz="4" w:space="24" w:color="000000"/>
        </w:pBdr>
        <w:spacing w:after="0"/>
        <w:ind w:left="220"/>
        <w:rPr>
          <w:b/>
          <w:u w:val="single"/>
          <w:lang w:val="en-GB"/>
        </w:rPr>
      </w:pPr>
    </w:p>
    <w:p w14:paraId="6CA0E918" w14:textId="6420A84E" w:rsidR="00281246" w:rsidRPr="00EE232F" w:rsidRDefault="00503CF8" w:rsidP="00EE232F">
      <w:pPr>
        <w:widowControl w:val="0"/>
        <w:pBdr>
          <w:top w:val="single" w:sz="4" w:space="1" w:color="000000"/>
          <w:left w:val="single" w:sz="4" w:space="4" w:color="000000"/>
          <w:bottom w:val="single" w:sz="4" w:space="1" w:color="000000"/>
          <w:right w:val="single" w:sz="4" w:space="24" w:color="000000"/>
        </w:pBdr>
        <w:spacing w:after="0"/>
        <w:ind w:left="220"/>
        <w:rPr>
          <w:b/>
          <w:u w:val="single"/>
          <w:lang w:val="en-GB"/>
        </w:rPr>
      </w:pPr>
      <w:r w:rsidRPr="00E94510">
        <w:rPr>
          <w:b/>
          <w:u w:val="single"/>
          <w:lang w:val="en-GB"/>
        </w:rPr>
        <w:t>CHAPTER I</w:t>
      </w:r>
      <w:r w:rsidR="00743AC7" w:rsidRPr="00E94510">
        <w:rPr>
          <w:u w:val="single"/>
          <w:lang w:val="en-GB"/>
        </w:rPr>
        <w:t>:</w:t>
      </w:r>
      <w:r w:rsidR="00743AC7" w:rsidRPr="00E94510">
        <w:rPr>
          <w:b/>
          <w:u w:val="single"/>
          <w:lang w:val="en-GB"/>
        </w:rPr>
        <w:t xml:space="preserve"> International instruments related to international</w:t>
      </w:r>
      <w:r w:rsidR="00743AC7" w:rsidRPr="00E94510">
        <w:rPr>
          <w:b/>
          <w:highlight w:val="white"/>
          <w:u w:val="single"/>
          <w:lang w:val="en-GB"/>
        </w:rPr>
        <w:t xml:space="preserve"> fisheries </w:t>
      </w:r>
      <w:r w:rsidR="00743AC7" w:rsidRPr="00E94510">
        <w:rPr>
          <w:b/>
          <w:u w:val="single"/>
          <w:lang w:val="en-GB"/>
        </w:rPr>
        <w:t>governance</w:t>
      </w:r>
      <w:r w:rsidR="00743AC7" w:rsidRPr="00C52FDE">
        <w:rPr>
          <w:b/>
          <w:lang w:val="en-GB"/>
        </w:rPr>
        <w:t xml:space="preserve"> </w:t>
      </w:r>
      <w:r w:rsidR="00743AC7" w:rsidRPr="00E94510">
        <w:rPr>
          <w:b/>
          <w:lang w:val="en-GB"/>
        </w:rPr>
        <w:tab/>
        <w:t xml:space="preserve"> </w:t>
      </w:r>
    </w:p>
    <w:p w14:paraId="741B3D9E" w14:textId="77777777" w:rsidR="00281246" w:rsidRPr="00E94510" w:rsidRDefault="00743AC7" w:rsidP="008513F2">
      <w:pPr>
        <w:widowControl w:val="0"/>
        <w:pBdr>
          <w:top w:val="single" w:sz="4" w:space="1" w:color="000000"/>
          <w:left w:val="single" w:sz="4" w:space="4" w:color="000000"/>
          <w:bottom w:val="single" w:sz="4" w:space="1" w:color="000000"/>
          <w:right w:val="single" w:sz="4" w:space="24" w:color="000000"/>
        </w:pBdr>
        <w:spacing w:after="0"/>
        <w:ind w:left="220"/>
        <w:rPr>
          <w:b/>
          <w:lang w:val="en-GB"/>
        </w:rPr>
      </w:pPr>
      <w:r w:rsidRPr="00E94510">
        <w:rPr>
          <w:b/>
          <w:lang w:val="en-GB"/>
        </w:rPr>
        <w:t>1.1. UN framework: key instruments (including UNCLOS and UN Fish Stock Agreement)</w:t>
      </w:r>
    </w:p>
    <w:p w14:paraId="5417D8FF" w14:textId="77777777" w:rsidR="00281246" w:rsidRPr="00E94510" w:rsidRDefault="00743AC7" w:rsidP="008513F2">
      <w:pPr>
        <w:widowControl w:val="0"/>
        <w:pBdr>
          <w:top w:val="single" w:sz="4" w:space="1" w:color="000000"/>
          <w:left w:val="single" w:sz="4" w:space="4" w:color="000000"/>
          <w:bottom w:val="single" w:sz="4" w:space="1" w:color="000000"/>
          <w:right w:val="single" w:sz="4" w:space="24" w:color="000000"/>
        </w:pBdr>
        <w:spacing w:after="0"/>
        <w:ind w:left="220"/>
        <w:rPr>
          <w:b/>
          <w:lang w:val="en-GB"/>
        </w:rPr>
      </w:pPr>
      <w:r w:rsidRPr="00E94510">
        <w:rPr>
          <w:b/>
          <w:lang w:val="en-GB"/>
        </w:rPr>
        <w:t>1.2. EU Regulation on the fight against IUU fishing</w:t>
      </w:r>
    </w:p>
    <w:p w14:paraId="31EC9F8E" w14:textId="77777777" w:rsidR="00281246" w:rsidRPr="00E94510" w:rsidRDefault="00743AC7" w:rsidP="008513F2">
      <w:pPr>
        <w:widowControl w:val="0"/>
        <w:pBdr>
          <w:top w:val="single" w:sz="4" w:space="1" w:color="000000"/>
          <w:left w:val="single" w:sz="4" w:space="4" w:color="000000"/>
          <w:bottom w:val="single" w:sz="4" w:space="1" w:color="000000"/>
          <w:right w:val="single" w:sz="4" w:space="24" w:color="000000"/>
        </w:pBdr>
        <w:spacing w:after="0"/>
        <w:ind w:left="220" w:firstLine="500"/>
        <w:rPr>
          <w:b/>
          <w:lang w:val="en-GB"/>
        </w:rPr>
      </w:pPr>
      <w:r w:rsidRPr="00E94510">
        <w:rPr>
          <w:b/>
          <w:lang w:val="en-GB"/>
        </w:rPr>
        <w:t>1.2.1 External level playing field</w:t>
      </w:r>
    </w:p>
    <w:p w14:paraId="5DB1DA29" w14:textId="77777777" w:rsidR="00281246" w:rsidRPr="00E94510" w:rsidRDefault="00743AC7" w:rsidP="008513F2">
      <w:pPr>
        <w:widowControl w:val="0"/>
        <w:pBdr>
          <w:top w:val="single" w:sz="4" w:space="1" w:color="000000"/>
          <w:left w:val="single" w:sz="4" w:space="4" w:color="000000"/>
          <w:bottom w:val="single" w:sz="4" w:space="1" w:color="000000"/>
          <w:right w:val="single" w:sz="4" w:space="24" w:color="000000"/>
        </w:pBdr>
        <w:spacing w:after="0"/>
        <w:ind w:left="220" w:firstLine="500"/>
        <w:rPr>
          <w:b/>
          <w:lang w:val="en-GB"/>
        </w:rPr>
      </w:pPr>
      <w:r w:rsidRPr="00E94510">
        <w:rPr>
          <w:b/>
          <w:lang w:val="en-GB"/>
        </w:rPr>
        <w:t>1.2.2 Internal level playing field</w:t>
      </w:r>
    </w:p>
    <w:p w14:paraId="0B0B2CFE" w14:textId="77777777" w:rsidR="00281246" w:rsidRPr="00E94510" w:rsidRDefault="00743AC7" w:rsidP="008513F2">
      <w:pPr>
        <w:widowControl w:val="0"/>
        <w:pBdr>
          <w:top w:val="single" w:sz="4" w:space="1" w:color="000000"/>
          <w:left w:val="single" w:sz="4" w:space="4" w:color="000000"/>
          <w:bottom w:val="single" w:sz="4" w:space="1" w:color="000000"/>
          <w:right w:val="single" w:sz="4" w:space="24" w:color="000000"/>
        </w:pBdr>
        <w:spacing w:after="0"/>
        <w:ind w:left="220"/>
        <w:rPr>
          <w:b/>
          <w:lang w:val="en-GB"/>
        </w:rPr>
      </w:pPr>
      <w:r w:rsidRPr="00E94510">
        <w:rPr>
          <w:b/>
          <w:lang w:val="en-GB"/>
        </w:rPr>
        <w:t>1.3. EU Regulation on Sustainable Management of the External Fishing Fleet</w:t>
      </w:r>
      <w:r w:rsidRPr="00E94510">
        <w:rPr>
          <w:b/>
          <w:lang w:val="en-GB"/>
        </w:rPr>
        <w:tab/>
        <w:t xml:space="preserve">(SMEFF) </w:t>
      </w:r>
    </w:p>
    <w:p w14:paraId="46C9B46F" w14:textId="77777777" w:rsidR="00281246" w:rsidRPr="00E94510" w:rsidRDefault="00743AC7" w:rsidP="008513F2">
      <w:pPr>
        <w:widowControl w:val="0"/>
        <w:pBdr>
          <w:top w:val="single" w:sz="4" w:space="1" w:color="000000"/>
          <w:left w:val="single" w:sz="4" w:space="4" w:color="000000"/>
          <w:bottom w:val="single" w:sz="4" w:space="1" w:color="000000"/>
          <w:right w:val="single" w:sz="4" w:space="24" w:color="000000"/>
        </w:pBdr>
        <w:spacing w:after="0"/>
        <w:ind w:left="220" w:firstLine="500"/>
        <w:rPr>
          <w:b/>
          <w:lang w:val="en-GB"/>
        </w:rPr>
      </w:pPr>
      <w:r w:rsidRPr="00E94510">
        <w:rPr>
          <w:b/>
          <w:lang w:val="en-GB"/>
        </w:rPr>
        <w:t>1.3.1 External level playing field</w:t>
      </w:r>
    </w:p>
    <w:p w14:paraId="431BEDF3" w14:textId="77777777" w:rsidR="00281246" w:rsidRPr="00E94510" w:rsidRDefault="00743AC7" w:rsidP="008513F2">
      <w:pPr>
        <w:widowControl w:val="0"/>
        <w:pBdr>
          <w:top w:val="single" w:sz="4" w:space="1" w:color="000000"/>
          <w:left w:val="single" w:sz="4" w:space="4" w:color="000000"/>
          <w:bottom w:val="single" w:sz="4" w:space="1" w:color="000000"/>
          <w:right w:val="single" w:sz="4" w:space="24" w:color="000000"/>
        </w:pBdr>
        <w:spacing w:after="0"/>
        <w:ind w:left="220" w:firstLine="500"/>
        <w:rPr>
          <w:b/>
          <w:lang w:val="en-GB"/>
        </w:rPr>
      </w:pPr>
      <w:r w:rsidRPr="00E94510">
        <w:rPr>
          <w:b/>
          <w:lang w:val="en-GB"/>
        </w:rPr>
        <w:t>1.3.2 Internal level playing field</w:t>
      </w:r>
    </w:p>
    <w:p w14:paraId="21846523" w14:textId="77777777" w:rsidR="00281246" w:rsidRPr="00E94510" w:rsidRDefault="00743AC7" w:rsidP="008513F2">
      <w:pPr>
        <w:widowControl w:val="0"/>
        <w:pBdr>
          <w:top w:val="single" w:sz="4" w:space="1" w:color="000000"/>
          <w:left w:val="single" w:sz="4" w:space="4" w:color="000000"/>
          <w:bottom w:val="single" w:sz="4" w:space="1" w:color="000000"/>
          <w:right w:val="single" w:sz="4" w:space="24" w:color="000000"/>
        </w:pBdr>
        <w:spacing w:after="0"/>
        <w:ind w:left="220"/>
        <w:rPr>
          <w:b/>
          <w:lang w:val="en-GB"/>
        </w:rPr>
      </w:pPr>
      <w:r w:rsidRPr="00E94510">
        <w:rPr>
          <w:b/>
          <w:lang w:val="en-GB"/>
        </w:rPr>
        <w:t xml:space="preserve">1.4. Sustainable fisheries partnership agreements (SFPAs) </w:t>
      </w:r>
    </w:p>
    <w:p w14:paraId="6F28ABBB" w14:textId="77777777" w:rsidR="00281246" w:rsidRPr="00E94510" w:rsidRDefault="00743AC7" w:rsidP="008513F2">
      <w:pPr>
        <w:widowControl w:val="0"/>
        <w:pBdr>
          <w:top w:val="single" w:sz="4" w:space="1" w:color="000000"/>
          <w:left w:val="single" w:sz="4" w:space="4" w:color="000000"/>
          <w:bottom w:val="single" w:sz="4" w:space="1" w:color="000000"/>
          <w:right w:val="single" w:sz="4" w:space="24" w:color="000000"/>
        </w:pBdr>
        <w:spacing w:after="0"/>
        <w:ind w:left="220"/>
        <w:rPr>
          <w:b/>
          <w:lang w:val="en-GB"/>
        </w:rPr>
      </w:pPr>
      <w:r w:rsidRPr="00E94510">
        <w:rPr>
          <w:b/>
          <w:lang w:val="en-GB"/>
        </w:rPr>
        <w:t xml:space="preserve">1.5. Fisheries Subsidies </w:t>
      </w:r>
    </w:p>
    <w:p w14:paraId="065111BC" w14:textId="77777777" w:rsidR="00281246" w:rsidRPr="00E94510" w:rsidRDefault="00743AC7" w:rsidP="008513F2">
      <w:pPr>
        <w:widowControl w:val="0"/>
        <w:pBdr>
          <w:top w:val="single" w:sz="4" w:space="1" w:color="000000"/>
          <w:left w:val="single" w:sz="4" w:space="4" w:color="000000"/>
          <w:bottom w:val="single" w:sz="4" w:space="1" w:color="000000"/>
          <w:right w:val="single" w:sz="4" w:space="24" w:color="000000"/>
        </w:pBdr>
        <w:spacing w:after="0"/>
        <w:ind w:left="220"/>
        <w:rPr>
          <w:b/>
          <w:lang w:val="en-GB"/>
        </w:rPr>
      </w:pPr>
      <w:r w:rsidRPr="00E94510">
        <w:rPr>
          <w:b/>
          <w:lang w:val="en-GB"/>
        </w:rPr>
        <w:tab/>
        <w:t>1.5.1 External level playing field</w:t>
      </w:r>
    </w:p>
    <w:p w14:paraId="6F2202E1" w14:textId="77777777" w:rsidR="00281246" w:rsidRPr="00E94510" w:rsidRDefault="00743AC7" w:rsidP="008513F2">
      <w:pPr>
        <w:widowControl w:val="0"/>
        <w:pBdr>
          <w:top w:val="single" w:sz="4" w:space="1" w:color="000000"/>
          <w:left w:val="single" w:sz="4" w:space="4" w:color="000000"/>
          <w:bottom w:val="single" w:sz="4" w:space="1" w:color="000000"/>
          <w:right w:val="single" w:sz="4" w:space="24" w:color="000000"/>
        </w:pBdr>
        <w:spacing w:after="0"/>
        <w:ind w:left="220" w:firstLine="500"/>
        <w:rPr>
          <w:b/>
          <w:lang w:val="en-GB"/>
        </w:rPr>
      </w:pPr>
      <w:r w:rsidRPr="00E94510">
        <w:rPr>
          <w:b/>
          <w:lang w:val="en-GB"/>
        </w:rPr>
        <w:t>1.5.2 Internal level playing field</w:t>
      </w:r>
    </w:p>
    <w:p w14:paraId="06D56AAD" w14:textId="77777777" w:rsidR="00281246" w:rsidRPr="00E94510" w:rsidRDefault="00743AC7" w:rsidP="008513F2">
      <w:pPr>
        <w:widowControl w:val="0"/>
        <w:pBdr>
          <w:top w:val="single" w:sz="4" w:space="1" w:color="000000"/>
          <w:left w:val="single" w:sz="4" w:space="4" w:color="000000"/>
          <w:bottom w:val="single" w:sz="4" w:space="1" w:color="000000"/>
          <w:right w:val="single" w:sz="4" w:space="24" w:color="000000"/>
        </w:pBdr>
        <w:spacing w:after="0"/>
        <w:ind w:left="220"/>
        <w:rPr>
          <w:b/>
          <w:lang w:val="en-GB"/>
        </w:rPr>
      </w:pPr>
      <w:r w:rsidRPr="00E94510">
        <w:rPr>
          <w:b/>
          <w:lang w:val="en-GB"/>
        </w:rPr>
        <w:t>1.6. Regional Fisheries Management Organisations and Arrangements (RFMO/As)</w:t>
      </w:r>
    </w:p>
    <w:p w14:paraId="03223B52" w14:textId="77777777" w:rsidR="00EE232F" w:rsidRDefault="00EE232F" w:rsidP="00EE232F">
      <w:pPr>
        <w:widowControl w:val="0"/>
        <w:pBdr>
          <w:top w:val="single" w:sz="4" w:space="1" w:color="000000"/>
          <w:left w:val="single" w:sz="4" w:space="4" w:color="000000"/>
          <w:bottom w:val="single" w:sz="4" w:space="1" w:color="000000"/>
          <w:right w:val="single" w:sz="4" w:space="24" w:color="000000"/>
        </w:pBdr>
        <w:spacing w:after="0"/>
        <w:ind w:left="220"/>
        <w:rPr>
          <w:b/>
          <w:lang w:val="en-GB"/>
        </w:rPr>
      </w:pPr>
    </w:p>
    <w:p w14:paraId="37B09072" w14:textId="202D40F8" w:rsidR="00281246" w:rsidRPr="00EE232F" w:rsidRDefault="00503CF8" w:rsidP="00EE232F">
      <w:pPr>
        <w:widowControl w:val="0"/>
        <w:pBdr>
          <w:top w:val="single" w:sz="4" w:space="1" w:color="000000"/>
          <w:left w:val="single" w:sz="4" w:space="4" w:color="000000"/>
          <w:bottom w:val="single" w:sz="4" w:space="1" w:color="000000"/>
          <w:right w:val="single" w:sz="4" w:space="24" w:color="000000"/>
        </w:pBdr>
        <w:spacing w:after="0"/>
        <w:ind w:left="220"/>
        <w:rPr>
          <w:b/>
          <w:u w:val="single"/>
          <w:lang w:val="en-GB"/>
        </w:rPr>
      </w:pPr>
      <w:r w:rsidRPr="00503CF8">
        <w:rPr>
          <w:b/>
          <w:u w:val="single"/>
          <w:lang w:val="en-US"/>
        </w:rPr>
        <w:t>CHAPTER II</w:t>
      </w:r>
      <w:r w:rsidR="00743AC7" w:rsidRPr="00503CF8">
        <w:rPr>
          <w:b/>
          <w:u w:val="single"/>
          <w:lang w:val="en-US"/>
        </w:rPr>
        <w:t xml:space="preserve">: Trade policies </w:t>
      </w:r>
    </w:p>
    <w:p w14:paraId="0BA22D6C" w14:textId="4A151633" w:rsidR="00281246" w:rsidRDefault="00743AC7" w:rsidP="008513F2">
      <w:pPr>
        <w:widowControl w:val="0"/>
        <w:pBdr>
          <w:top w:val="single" w:sz="4" w:space="1" w:color="000000"/>
          <w:left w:val="single" w:sz="4" w:space="4" w:color="000000"/>
          <w:bottom w:val="single" w:sz="4" w:space="1" w:color="000000"/>
          <w:right w:val="single" w:sz="4" w:space="24" w:color="000000"/>
        </w:pBdr>
        <w:spacing w:after="0"/>
        <w:ind w:left="220"/>
        <w:rPr>
          <w:b/>
          <w:lang w:val="en-GB"/>
        </w:rPr>
      </w:pPr>
      <w:r w:rsidRPr="00E94510">
        <w:rPr>
          <w:b/>
          <w:lang w:val="en-GB"/>
        </w:rPr>
        <w:t>2.1. Sustainable Development in trade arrangements</w:t>
      </w:r>
    </w:p>
    <w:p w14:paraId="22B0CC73" w14:textId="77777777" w:rsidR="00B24A51" w:rsidRDefault="00B24A51" w:rsidP="00B24A51">
      <w:pPr>
        <w:widowControl w:val="0"/>
        <w:pBdr>
          <w:top w:val="single" w:sz="4" w:space="1" w:color="000000"/>
          <w:left w:val="single" w:sz="4" w:space="4" w:color="000000"/>
          <w:bottom w:val="single" w:sz="4" w:space="1" w:color="000000"/>
          <w:right w:val="single" w:sz="4" w:space="24" w:color="000000"/>
        </w:pBdr>
        <w:spacing w:after="0"/>
        <w:ind w:left="220"/>
        <w:rPr>
          <w:b/>
          <w:lang w:val="en-GB"/>
        </w:rPr>
      </w:pPr>
      <w:r>
        <w:rPr>
          <w:b/>
          <w:lang w:val="en-GB"/>
        </w:rPr>
        <w:tab/>
        <w:t>2.1.1 Sustainable development in GSP arrangement</w:t>
      </w:r>
    </w:p>
    <w:p w14:paraId="260180A4" w14:textId="1B030003" w:rsidR="00B24A51" w:rsidRPr="00E94510" w:rsidRDefault="00B24A51" w:rsidP="00B24A51">
      <w:pPr>
        <w:widowControl w:val="0"/>
        <w:pBdr>
          <w:top w:val="single" w:sz="4" w:space="1" w:color="000000"/>
          <w:left w:val="single" w:sz="4" w:space="4" w:color="000000"/>
          <w:bottom w:val="single" w:sz="4" w:space="1" w:color="000000"/>
          <w:right w:val="single" w:sz="4" w:space="24" w:color="000000"/>
        </w:pBdr>
        <w:spacing w:after="0"/>
        <w:ind w:left="220"/>
        <w:rPr>
          <w:lang w:val="en-GB"/>
        </w:rPr>
      </w:pPr>
      <w:r>
        <w:rPr>
          <w:b/>
          <w:lang w:val="en-GB"/>
        </w:rPr>
        <w:tab/>
        <w:t>2.1.1 Other trade arrangements</w:t>
      </w:r>
    </w:p>
    <w:p w14:paraId="61A056F4" w14:textId="77777777" w:rsidR="00EE232F" w:rsidRDefault="00743AC7" w:rsidP="00EE232F">
      <w:pPr>
        <w:widowControl w:val="0"/>
        <w:pBdr>
          <w:top w:val="single" w:sz="4" w:space="1" w:color="000000"/>
          <w:left w:val="single" w:sz="4" w:space="4" w:color="000000"/>
          <w:bottom w:val="single" w:sz="4" w:space="1" w:color="000000"/>
          <w:right w:val="single" w:sz="4" w:space="24" w:color="000000"/>
        </w:pBdr>
        <w:spacing w:after="0"/>
        <w:ind w:left="220"/>
        <w:rPr>
          <w:b/>
          <w:lang w:val="en-GB"/>
        </w:rPr>
      </w:pPr>
      <w:r w:rsidRPr="00E94510">
        <w:rPr>
          <w:b/>
          <w:lang w:val="en-GB"/>
        </w:rPr>
        <w:t>2.2. Other import-related considerations: food safety and sustainability standard requirements</w:t>
      </w:r>
    </w:p>
    <w:p w14:paraId="01EB4B77" w14:textId="77777777" w:rsidR="00EE232F" w:rsidRDefault="00EE232F" w:rsidP="00EE232F">
      <w:pPr>
        <w:widowControl w:val="0"/>
        <w:pBdr>
          <w:top w:val="single" w:sz="4" w:space="1" w:color="000000"/>
          <w:left w:val="single" w:sz="4" w:space="4" w:color="000000"/>
          <w:bottom w:val="single" w:sz="4" w:space="1" w:color="000000"/>
          <w:right w:val="single" w:sz="4" w:space="24" w:color="000000"/>
        </w:pBdr>
        <w:spacing w:after="0"/>
        <w:ind w:left="220"/>
        <w:rPr>
          <w:b/>
          <w:lang w:val="en-GB"/>
        </w:rPr>
      </w:pPr>
    </w:p>
    <w:p w14:paraId="6F63AF9C" w14:textId="5F34A6AE" w:rsidR="00281246" w:rsidRPr="00EE232F" w:rsidRDefault="00503CF8" w:rsidP="00EE232F">
      <w:pPr>
        <w:widowControl w:val="0"/>
        <w:pBdr>
          <w:top w:val="single" w:sz="4" w:space="1" w:color="000000"/>
          <w:left w:val="single" w:sz="4" w:space="4" w:color="000000"/>
          <w:bottom w:val="single" w:sz="4" w:space="1" w:color="000000"/>
          <w:right w:val="single" w:sz="4" w:space="24" w:color="000000"/>
        </w:pBdr>
        <w:spacing w:after="0"/>
        <w:ind w:left="220"/>
        <w:rPr>
          <w:b/>
          <w:lang w:val="en-GB"/>
        </w:rPr>
      </w:pPr>
      <w:r w:rsidRPr="00E94510">
        <w:rPr>
          <w:b/>
          <w:u w:val="single"/>
          <w:lang w:val="en-GB"/>
        </w:rPr>
        <w:t>CHAPTER III</w:t>
      </w:r>
      <w:r w:rsidR="00743AC7" w:rsidRPr="00E94510">
        <w:rPr>
          <w:b/>
          <w:u w:val="single"/>
          <w:lang w:val="en-GB"/>
        </w:rPr>
        <w:t xml:space="preserve">: International instruments related </w:t>
      </w:r>
      <w:r w:rsidR="00743AC7" w:rsidRPr="00E94510">
        <w:rPr>
          <w:b/>
          <w:highlight w:val="white"/>
          <w:u w:val="single"/>
          <w:lang w:val="en-GB"/>
        </w:rPr>
        <w:t>to social aspects (including labour rights)</w:t>
      </w:r>
    </w:p>
    <w:p w14:paraId="5E54DFF1" w14:textId="4A94733D" w:rsidR="00281246" w:rsidRPr="00E94510" w:rsidRDefault="00743AC7" w:rsidP="008513F2">
      <w:pPr>
        <w:widowControl w:val="0"/>
        <w:pBdr>
          <w:top w:val="single" w:sz="4" w:space="1" w:color="000000"/>
          <w:left w:val="single" w:sz="4" w:space="4" w:color="000000"/>
          <w:bottom w:val="single" w:sz="4" w:space="1" w:color="000000"/>
          <w:right w:val="single" w:sz="4" w:space="24" w:color="000000"/>
        </w:pBdr>
        <w:spacing w:after="0"/>
        <w:ind w:left="220"/>
        <w:rPr>
          <w:b/>
          <w:lang w:val="en-GB"/>
        </w:rPr>
      </w:pPr>
      <w:bookmarkStart w:id="0" w:name="_30j0zll" w:colFirst="0" w:colLast="0"/>
      <w:bookmarkEnd w:id="0"/>
      <w:r w:rsidRPr="00E94510">
        <w:rPr>
          <w:b/>
          <w:lang w:val="en-GB"/>
        </w:rPr>
        <w:t xml:space="preserve">3.1. ILO/IMO/FAO </w:t>
      </w:r>
    </w:p>
    <w:p w14:paraId="3FE73E43" w14:textId="2F097943" w:rsidR="00EE232F" w:rsidRDefault="00743AC7" w:rsidP="00EE232F">
      <w:pPr>
        <w:widowControl w:val="0"/>
        <w:pBdr>
          <w:top w:val="single" w:sz="4" w:space="1" w:color="000000"/>
          <w:left w:val="single" w:sz="4" w:space="4" w:color="000000"/>
          <w:bottom w:val="single" w:sz="4" w:space="1" w:color="000000"/>
          <w:right w:val="single" w:sz="4" w:space="24" w:color="000000"/>
        </w:pBdr>
        <w:spacing w:after="0"/>
        <w:ind w:left="220"/>
        <w:rPr>
          <w:b/>
          <w:lang w:val="en-GB"/>
        </w:rPr>
      </w:pPr>
      <w:bookmarkStart w:id="1" w:name="_iobh74b9s3vf" w:colFirst="0" w:colLast="0"/>
      <w:bookmarkStart w:id="2" w:name="_o5e8p7xize55" w:colFirst="0" w:colLast="0"/>
      <w:bookmarkEnd w:id="1"/>
      <w:bookmarkEnd w:id="2"/>
      <w:r w:rsidRPr="00E94510">
        <w:rPr>
          <w:b/>
          <w:lang w:val="en-GB"/>
        </w:rPr>
        <w:t>3.</w:t>
      </w:r>
      <w:r w:rsidR="00934833">
        <w:rPr>
          <w:b/>
          <w:lang w:val="en-GB"/>
        </w:rPr>
        <w:t>2</w:t>
      </w:r>
      <w:r w:rsidRPr="00E94510">
        <w:rPr>
          <w:b/>
          <w:lang w:val="en-GB"/>
        </w:rPr>
        <w:t>. Other issues</w:t>
      </w:r>
    </w:p>
    <w:p w14:paraId="014164FD" w14:textId="77777777" w:rsidR="00EE232F" w:rsidRDefault="00EE232F" w:rsidP="00EE232F">
      <w:pPr>
        <w:widowControl w:val="0"/>
        <w:pBdr>
          <w:top w:val="single" w:sz="4" w:space="1" w:color="000000"/>
          <w:left w:val="single" w:sz="4" w:space="4" w:color="000000"/>
          <w:bottom w:val="single" w:sz="4" w:space="1" w:color="000000"/>
          <w:right w:val="single" w:sz="4" w:space="24" w:color="000000"/>
        </w:pBdr>
        <w:spacing w:after="0"/>
        <w:ind w:left="220"/>
        <w:rPr>
          <w:b/>
          <w:lang w:val="en-GB"/>
        </w:rPr>
      </w:pPr>
    </w:p>
    <w:p w14:paraId="007B72F2" w14:textId="254C756C" w:rsidR="00281246" w:rsidRPr="00EE232F" w:rsidRDefault="00503CF8" w:rsidP="00EE232F">
      <w:pPr>
        <w:widowControl w:val="0"/>
        <w:pBdr>
          <w:top w:val="single" w:sz="4" w:space="1" w:color="000000"/>
          <w:left w:val="single" w:sz="4" w:space="4" w:color="000000"/>
          <w:bottom w:val="single" w:sz="4" w:space="1" w:color="000000"/>
          <w:right w:val="single" w:sz="4" w:space="24" w:color="000000"/>
        </w:pBdr>
        <w:spacing w:after="0"/>
        <w:ind w:left="220"/>
        <w:rPr>
          <w:b/>
          <w:lang w:val="en-GB"/>
        </w:rPr>
      </w:pPr>
      <w:r w:rsidRPr="00E94510">
        <w:rPr>
          <w:b/>
          <w:u w:val="single"/>
          <w:lang w:val="en-GB"/>
        </w:rPr>
        <w:t>ANNEX</w:t>
      </w:r>
      <w:r>
        <w:rPr>
          <w:b/>
          <w:u w:val="single"/>
          <w:lang w:val="en-GB"/>
        </w:rPr>
        <w:t xml:space="preserve"> I</w:t>
      </w:r>
      <w:r w:rsidR="00743AC7" w:rsidRPr="00E94510">
        <w:rPr>
          <w:b/>
          <w:lang w:val="en-GB"/>
        </w:rPr>
        <w:t>: State of ratifications of international conventions by the world’s biggest fish produc</w:t>
      </w:r>
      <w:r w:rsidR="00743AC7" w:rsidRPr="00E94510">
        <w:rPr>
          <w:b/>
          <w:highlight w:val="white"/>
          <w:lang w:val="en-GB"/>
        </w:rPr>
        <w:t>ers (Table 1 &amp; 2)</w:t>
      </w:r>
    </w:p>
    <w:p w14:paraId="1AF56164" w14:textId="77777777" w:rsidR="00281246" w:rsidRPr="00E94510" w:rsidRDefault="00743AC7" w:rsidP="008513F2">
      <w:pPr>
        <w:widowControl w:val="0"/>
        <w:pBdr>
          <w:top w:val="single" w:sz="4" w:space="1" w:color="000000"/>
          <w:left w:val="single" w:sz="4" w:space="4" w:color="000000"/>
          <w:bottom w:val="single" w:sz="4" w:space="1" w:color="000000"/>
          <w:right w:val="single" w:sz="4" w:space="24" w:color="000000"/>
        </w:pBdr>
        <w:spacing w:after="0"/>
        <w:ind w:left="220"/>
        <w:rPr>
          <w:b/>
          <w:highlight w:val="white"/>
          <w:lang w:val="en-GB"/>
        </w:rPr>
      </w:pPr>
      <w:r w:rsidRPr="00E94510">
        <w:rPr>
          <w:b/>
          <w:highlight w:val="white"/>
          <w:lang w:val="en-GB"/>
        </w:rPr>
        <w:t>- Table 1: Conventions related to the conservation of fisheries resources</w:t>
      </w:r>
    </w:p>
    <w:p w14:paraId="616DBD10" w14:textId="77777777" w:rsidR="00EE232F" w:rsidRDefault="00743AC7" w:rsidP="00EE232F">
      <w:pPr>
        <w:widowControl w:val="0"/>
        <w:pBdr>
          <w:top w:val="single" w:sz="4" w:space="1" w:color="000000"/>
          <w:left w:val="single" w:sz="4" w:space="4" w:color="000000"/>
          <w:bottom w:val="single" w:sz="4" w:space="1" w:color="000000"/>
          <w:right w:val="single" w:sz="4" w:space="24" w:color="000000"/>
        </w:pBdr>
        <w:spacing w:after="0"/>
        <w:ind w:left="220"/>
        <w:rPr>
          <w:b/>
          <w:lang w:val="en-GB"/>
        </w:rPr>
      </w:pPr>
      <w:r w:rsidRPr="00E94510">
        <w:rPr>
          <w:b/>
          <w:highlight w:val="white"/>
          <w:lang w:val="en-GB"/>
        </w:rPr>
        <w:t>- Table 2: Conventions related to labour conditions</w:t>
      </w:r>
    </w:p>
    <w:p w14:paraId="3EB2A72E" w14:textId="77777777" w:rsidR="00EE232F" w:rsidRDefault="00EE232F" w:rsidP="00EE232F">
      <w:pPr>
        <w:widowControl w:val="0"/>
        <w:pBdr>
          <w:top w:val="single" w:sz="4" w:space="1" w:color="000000"/>
          <w:left w:val="single" w:sz="4" w:space="4" w:color="000000"/>
          <w:bottom w:val="single" w:sz="4" w:space="1" w:color="000000"/>
          <w:right w:val="single" w:sz="4" w:space="24" w:color="000000"/>
        </w:pBdr>
        <w:spacing w:after="0"/>
        <w:ind w:left="220"/>
        <w:rPr>
          <w:b/>
          <w:lang w:val="en-GB"/>
        </w:rPr>
      </w:pPr>
    </w:p>
    <w:p w14:paraId="7BDB4921" w14:textId="77777777" w:rsidR="00EE232F" w:rsidRDefault="00BD4469" w:rsidP="00EE232F">
      <w:pPr>
        <w:widowControl w:val="0"/>
        <w:pBdr>
          <w:top w:val="single" w:sz="4" w:space="1" w:color="000000"/>
          <w:left w:val="single" w:sz="4" w:space="4" w:color="000000"/>
          <w:bottom w:val="single" w:sz="4" w:space="1" w:color="000000"/>
          <w:right w:val="single" w:sz="4" w:space="24" w:color="000000"/>
        </w:pBdr>
        <w:spacing w:after="0"/>
        <w:ind w:left="220"/>
        <w:rPr>
          <w:b/>
          <w:highlight w:val="white"/>
          <w:lang w:val="en-GB"/>
        </w:rPr>
      </w:pPr>
      <w:r w:rsidRPr="00BD4469">
        <w:rPr>
          <w:b/>
          <w:u w:val="single"/>
          <w:lang w:val="en-GB"/>
        </w:rPr>
        <w:t>ANNEX II</w:t>
      </w:r>
      <w:r w:rsidRPr="00BD4469">
        <w:rPr>
          <w:b/>
          <w:lang w:val="en-GB"/>
        </w:rPr>
        <w:t xml:space="preserve">: </w:t>
      </w:r>
      <w:bookmarkStart w:id="3" w:name="_Hlk70596816"/>
      <w:r w:rsidRPr="00BD4469">
        <w:rPr>
          <w:b/>
          <w:lang w:val="en-GB"/>
        </w:rPr>
        <w:t>Comparative table of FADs and technical measures for tuna RFMOs</w:t>
      </w:r>
      <w:bookmarkEnd w:id="3"/>
    </w:p>
    <w:p w14:paraId="36F234D3" w14:textId="77777777" w:rsidR="00EE232F" w:rsidRDefault="00EE232F" w:rsidP="00EE232F">
      <w:pPr>
        <w:widowControl w:val="0"/>
        <w:pBdr>
          <w:top w:val="single" w:sz="4" w:space="1" w:color="000000"/>
          <w:left w:val="single" w:sz="4" w:space="4" w:color="000000"/>
          <w:bottom w:val="single" w:sz="4" w:space="1" w:color="000000"/>
          <w:right w:val="single" w:sz="4" w:space="24" w:color="000000"/>
        </w:pBdr>
        <w:spacing w:after="0"/>
        <w:ind w:left="220"/>
        <w:rPr>
          <w:b/>
          <w:highlight w:val="white"/>
          <w:u w:val="single"/>
          <w:lang w:val="en-GB"/>
        </w:rPr>
      </w:pPr>
    </w:p>
    <w:p w14:paraId="14BABAE6" w14:textId="26918042" w:rsidR="00CC5C67" w:rsidRPr="00EE232F" w:rsidRDefault="00503CF8" w:rsidP="00EE232F">
      <w:pPr>
        <w:widowControl w:val="0"/>
        <w:pBdr>
          <w:top w:val="single" w:sz="4" w:space="1" w:color="000000"/>
          <w:left w:val="single" w:sz="4" w:space="4" w:color="000000"/>
          <w:bottom w:val="single" w:sz="4" w:space="1" w:color="000000"/>
          <w:right w:val="single" w:sz="4" w:space="24" w:color="000000"/>
        </w:pBdr>
        <w:spacing w:after="0"/>
        <w:ind w:left="220"/>
        <w:rPr>
          <w:b/>
          <w:highlight w:val="white"/>
          <w:lang w:val="en-GB"/>
        </w:rPr>
      </w:pPr>
      <w:r w:rsidRPr="00CC5C67">
        <w:rPr>
          <w:b/>
          <w:highlight w:val="white"/>
          <w:u w:val="single"/>
          <w:lang w:val="en-GB"/>
        </w:rPr>
        <w:t>ANNEX I</w:t>
      </w:r>
      <w:r w:rsidR="00BD4469">
        <w:rPr>
          <w:b/>
          <w:highlight w:val="white"/>
          <w:u w:val="single"/>
          <w:lang w:val="en-GB"/>
        </w:rPr>
        <w:t>I</w:t>
      </w:r>
      <w:r w:rsidRPr="00CC5C67">
        <w:rPr>
          <w:b/>
          <w:highlight w:val="white"/>
          <w:u w:val="single"/>
          <w:lang w:val="en-GB"/>
        </w:rPr>
        <w:t>I</w:t>
      </w:r>
      <w:r w:rsidR="00CC5C67" w:rsidRPr="00CC5C67">
        <w:rPr>
          <w:b/>
          <w:highlight w:val="white"/>
          <w:lang w:val="en-GB"/>
        </w:rPr>
        <w:t xml:space="preserve">: </w:t>
      </w:r>
      <w:r w:rsidR="00CC5C67" w:rsidRPr="00CC5C67">
        <w:rPr>
          <w:b/>
          <w:lang w:val="en-GB"/>
        </w:rPr>
        <w:t>Case study: Labour abuses and human rights violations in third countries that have signed trade agreements with the EU – The case of Vietnam</w:t>
      </w:r>
    </w:p>
    <w:p w14:paraId="129965F5" w14:textId="21E92D3D" w:rsidR="00F851C4" w:rsidRDefault="00F851C4" w:rsidP="008513F2">
      <w:pPr>
        <w:widowControl w:val="0"/>
        <w:pBdr>
          <w:top w:val="single" w:sz="4" w:space="1" w:color="000000"/>
          <w:left w:val="single" w:sz="4" w:space="4" w:color="000000"/>
          <w:bottom w:val="single" w:sz="4" w:space="1" w:color="000000"/>
          <w:right w:val="single" w:sz="4" w:space="24" w:color="000000"/>
        </w:pBdr>
        <w:spacing w:after="0"/>
        <w:ind w:left="220" w:firstLine="500"/>
        <w:rPr>
          <w:b/>
          <w:highlight w:val="white"/>
          <w:lang w:val="en-GB"/>
        </w:rPr>
      </w:pPr>
    </w:p>
    <w:p w14:paraId="4700E3E4" w14:textId="77777777" w:rsidR="00281246" w:rsidRPr="00E94510" w:rsidRDefault="00743AC7" w:rsidP="008513F2">
      <w:pPr>
        <w:widowControl w:val="0"/>
        <w:pBdr>
          <w:top w:val="single" w:sz="4" w:space="1" w:color="000000"/>
          <w:left w:val="single" w:sz="4" w:space="4" w:color="000000"/>
          <w:bottom w:val="single" w:sz="4" w:space="1" w:color="000000"/>
          <w:right w:val="single" w:sz="4" w:space="24" w:color="000000"/>
        </w:pBdr>
        <w:ind w:left="220"/>
        <w:rPr>
          <w:b/>
          <w:highlight w:val="white"/>
          <w:lang w:val="en-GB"/>
        </w:rPr>
      </w:pPr>
      <w:r w:rsidRPr="00E94510">
        <w:rPr>
          <w:b/>
          <w:highlight w:val="white"/>
          <w:lang w:val="en-GB"/>
        </w:rPr>
        <w:tab/>
      </w:r>
    </w:p>
    <w:p w14:paraId="08337EBE" w14:textId="77777777" w:rsidR="00281246" w:rsidRPr="00E94510" w:rsidRDefault="00281246">
      <w:pPr>
        <w:rPr>
          <w:lang w:val="en-GB"/>
        </w:rPr>
      </w:pPr>
    </w:p>
    <w:p w14:paraId="3A91FB7E" w14:textId="77777777" w:rsidR="00281246" w:rsidRPr="00E94510" w:rsidRDefault="00281246">
      <w:pPr>
        <w:rPr>
          <w:lang w:val="en-GB"/>
        </w:rPr>
      </w:pPr>
    </w:p>
    <w:p w14:paraId="21840259" w14:textId="08392FD9" w:rsidR="00971688" w:rsidRDefault="00743AC7" w:rsidP="00EE232F">
      <w:pPr>
        <w:jc w:val="center"/>
        <w:rPr>
          <w:b/>
          <w:lang w:val="en-GB"/>
        </w:rPr>
      </w:pPr>
      <w:r w:rsidRPr="00E94510">
        <w:rPr>
          <w:lang w:val="en-GB"/>
        </w:rPr>
        <w:br w:type="page"/>
      </w:r>
    </w:p>
    <w:p w14:paraId="30F61641" w14:textId="6A069121" w:rsidR="00281246" w:rsidRPr="00DC55DA" w:rsidRDefault="00715D03">
      <w:pPr>
        <w:rPr>
          <w:b/>
          <w:lang w:val="en-GB"/>
        </w:rPr>
      </w:pPr>
      <w:r w:rsidRPr="00E94510">
        <w:rPr>
          <w:b/>
          <w:u w:val="single"/>
          <w:lang w:val="en-GB"/>
        </w:rPr>
        <w:lastRenderedPageBreak/>
        <w:t xml:space="preserve">EXECUTIVE SUMMARY </w:t>
      </w:r>
    </w:p>
    <w:p w14:paraId="3C9BBAE3" w14:textId="77777777" w:rsidR="00971688" w:rsidRPr="00971688" w:rsidRDefault="00971688" w:rsidP="00971688">
      <w:pPr>
        <w:spacing w:after="0"/>
        <w:ind w:right="0"/>
        <w:rPr>
          <w:rFonts w:cs="Times New Roman"/>
          <w:lang w:val="en-GB" w:eastAsia="en-US"/>
        </w:rPr>
      </w:pPr>
      <w:bookmarkStart w:id="4" w:name="_Hlk70589777"/>
      <w:r w:rsidRPr="00971688">
        <w:rPr>
          <w:rFonts w:cs="Times New Roman"/>
          <w:lang w:val="en-GB" w:eastAsia="en-US"/>
        </w:rPr>
        <w:t>In 2018, the European Union (EU</w:t>
      </w:r>
      <w:r w:rsidRPr="00971688">
        <w:rPr>
          <w:rFonts w:cs="Times New Roman"/>
          <w:vertAlign w:val="superscript"/>
          <w:lang w:val="en-GB" w:eastAsia="en-US"/>
        </w:rPr>
        <w:footnoteReference w:id="4"/>
      </w:r>
      <w:r w:rsidRPr="00971688">
        <w:rPr>
          <w:rFonts w:cs="Times New Roman"/>
          <w:lang w:val="en-GB" w:eastAsia="en-US"/>
        </w:rPr>
        <w:t>) was home to 446 million inhabitants. While the EU accounted for 5.9% of the world’s population, its gross domestic products (GDP) accounted that year for 18.6% of the world’s GDP and recorded an average gross national income per inhabitant of more than double the world average. Its share of world trade was the world’s largest both in terms of exports and imports, and it stood out as the largest source and recipient of foreign direct investment of the G20</w:t>
      </w:r>
      <w:r w:rsidRPr="00971688">
        <w:rPr>
          <w:rFonts w:cs="Times New Roman"/>
          <w:vertAlign w:val="superscript"/>
          <w:lang w:val="en-GB" w:eastAsia="en-US"/>
        </w:rPr>
        <w:footnoteReference w:id="5"/>
      </w:r>
      <w:r w:rsidRPr="00971688">
        <w:rPr>
          <w:rFonts w:cs="Times New Roman"/>
          <w:lang w:val="en-GB" w:eastAsia="en-US"/>
        </w:rPr>
        <w:t>. The EU also remains the world’s leading donor of Official Development Assistance, representing, in 2019, 55.2% of global assistance</w:t>
      </w:r>
      <w:r w:rsidRPr="00971688">
        <w:rPr>
          <w:rFonts w:cs="Times New Roman"/>
          <w:vertAlign w:val="superscript"/>
          <w:lang w:val="en-GB" w:eastAsia="en-US"/>
        </w:rPr>
        <w:footnoteReference w:id="6"/>
      </w:r>
      <w:r w:rsidRPr="00971688">
        <w:rPr>
          <w:rFonts w:cs="Times New Roman"/>
          <w:lang w:val="en-GB" w:eastAsia="en-US"/>
        </w:rPr>
        <w:t>.</w:t>
      </w:r>
    </w:p>
    <w:p w14:paraId="3D5D6E6E" w14:textId="77777777" w:rsidR="00971688" w:rsidRPr="00971688" w:rsidRDefault="00971688" w:rsidP="00971688">
      <w:pPr>
        <w:spacing w:after="0"/>
        <w:ind w:right="0"/>
        <w:rPr>
          <w:rFonts w:cs="Times New Roman"/>
          <w:lang w:val="en-GB" w:eastAsia="en-US"/>
        </w:rPr>
      </w:pPr>
    </w:p>
    <w:p w14:paraId="4462553E" w14:textId="77777777" w:rsidR="00971688" w:rsidRPr="00971688" w:rsidRDefault="00971688" w:rsidP="00971688">
      <w:pPr>
        <w:spacing w:after="0"/>
        <w:ind w:right="0"/>
        <w:rPr>
          <w:rFonts w:cs="Times New Roman"/>
          <w:lang w:val="en-GB" w:eastAsia="en-US"/>
        </w:rPr>
      </w:pPr>
      <w:r w:rsidRPr="00971688">
        <w:rPr>
          <w:rFonts w:cs="Times New Roman"/>
          <w:lang w:val="en-GB" w:eastAsia="en-US"/>
        </w:rPr>
        <w:t>As such, the EU features as one of the world’s powerhouses. This has increasingly been reflected in its political agenda. In June 2019, the European Council notably included, in its new strategic agenda, to promote Europe’s interests and values in the world as one of its four main priorities. This priority is closely intertwined with the Political Guidelines</w:t>
      </w:r>
      <w:r w:rsidRPr="00971688">
        <w:rPr>
          <w:rFonts w:cs="Times New Roman"/>
          <w:vertAlign w:val="superscript"/>
          <w:lang w:val="en-GB" w:eastAsia="en-US"/>
        </w:rPr>
        <w:footnoteReference w:id="7"/>
      </w:r>
      <w:r w:rsidRPr="00971688">
        <w:rPr>
          <w:rFonts w:cs="Times New Roman"/>
          <w:lang w:val="en-GB" w:eastAsia="en-US"/>
        </w:rPr>
        <w:t xml:space="preserve"> and six work priorities of the European Commission for 2019-2024</w:t>
      </w:r>
      <w:r w:rsidRPr="00971688">
        <w:rPr>
          <w:rFonts w:cs="Times New Roman"/>
          <w:vertAlign w:val="superscript"/>
          <w:lang w:val="en-GB" w:eastAsia="en-US"/>
        </w:rPr>
        <w:footnoteReference w:id="8"/>
      </w:r>
      <w:r w:rsidRPr="00971688">
        <w:rPr>
          <w:rFonts w:cs="Times New Roman"/>
          <w:lang w:val="en-GB" w:eastAsia="en-US"/>
        </w:rPr>
        <w:t xml:space="preserve"> as well as other EU institutions at further developing a “strong and vibrant economic base” and “building a climate-neutral, green, fair and social Europe”</w:t>
      </w:r>
      <w:r w:rsidRPr="00971688">
        <w:rPr>
          <w:rFonts w:cs="Times New Roman"/>
          <w:vertAlign w:val="superscript"/>
          <w:lang w:val="en-GB" w:eastAsia="en-US"/>
        </w:rPr>
        <w:footnoteReference w:id="9"/>
      </w:r>
      <w:r w:rsidRPr="00971688">
        <w:rPr>
          <w:rFonts w:cs="Times New Roman"/>
          <w:lang w:val="en-GB" w:eastAsia="en-US"/>
        </w:rPr>
        <w:t xml:space="preserve">. To meet these objectives, the </w:t>
      </w:r>
      <w:r w:rsidRPr="002D11F1">
        <w:rPr>
          <w:rFonts w:cs="Times New Roman"/>
          <w:highlight w:val="yellow"/>
          <w:lang w:val="en-GB" w:eastAsia="en-US"/>
        </w:rPr>
        <w:t>LDAC shares the views expressed in the EU’s strategic agenda that “in a world where common rules and standards are increasingly questioned, it will be vital to promote a level playing field</w:t>
      </w:r>
      <w:r w:rsidRPr="00971688">
        <w:rPr>
          <w:rFonts w:cs="Times New Roman"/>
          <w:lang w:val="en-GB" w:eastAsia="en-US"/>
        </w:rPr>
        <w:t>”.</w:t>
      </w:r>
    </w:p>
    <w:p w14:paraId="0B6CF8DA" w14:textId="77777777" w:rsidR="00971688" w:rsidRPr="00971688" w:rsidRDefault="00971688" w:rsidP="00971688">
      <w:pPr>
        <w:spacing w:after="0"/>
        <w:ind w:right="0"/>
        <w:rPr>
          <w:rFonts w:cs="Times New Roman"/>
          <w:lang w:val="en-GB" w:eastAsia="en-US"/>
        </w:rPr>
      </w:pPr>
    </w:p>
    <w:p w14:paraId="6E93880D" w14:textId="77777777" w:rsidR="00971688" w:rsidRPr="00971688" w:rsidRDefault="00971688" w:rsidP="00971688">
      <w:pPr>
        <w:spacing w:after="0"/>
        <w:ind w:right="0"/>
        <w:rPr>
          <w:rFonts w:cs="Times New Roman"/>
          <w:lang w:val="en-GB" w:eastAsia="en-US"/>
        </w:rPr>
      </w:pPr>
      <w:r w:rsidRPr="00971688">
        <w:rPr>
          <w:rFonts w:cs="Times New Roman"/>
          <w:lang w:val="en-GB" w:eastAsia="en-US"/>
        </w:rPr>
        <w:t>The LDAC understands the concept of level playing field as describing a situation where all participants in a specific activity have the same opportunities to be successful. In international trade, the level playing field is based on the concept of fairness. Failure to comply with ground rules leads to an imbalance where the compliant party loses competitiveness vis-à-vis the negligent one</w:t>
      </w:r>
      <w:r w:rsidRPr="00971688">
        <w:rPr>
          <w:rFonts w:cs="Times New Roman"/>
          <w:vertAlign w:val="superscript"/>
          <w:lang w:val="en-GB" w:eastAsia="en-US"/>
        </w:rPr>
        <w:footnoteReference w:id="10"/>
      </w:r>
      <w:r w:rsidRPr="00971688">
        <w:rPr>
          <w:rFonts w:cs="Times New Roman"/>
          <w:lang w:val="en-GB" w:eastAsia="en-US"/>
        </w:rPr>
        <w:t>.</w:t>
      </w:r>
    </w:p>
    <w:p w14:paraId="2CD75827" w14:textId="77777777" w:rsidR="00971688" w:rsidRPr="00971688" w:rsidRDefault="00971688" w:rsidP="00971688">
      <w:pPr>
        <w:spacing w:after="0"/>
        <w:ind w:right="0"/>
        <w:rPr>
          <w:rFonts w:cs="Times New Roman"/>
          <w:lang w:val="en-GB" w:eastAsia="en-US"/>
        </w:rPr>
      </w:pPr>
    </w:p>
    <w:p w14:paraId="5C5DACB4" w14:textId="77777777" w:rsidR="00971688" w:rsidRPr="00971688" w:rsidRDefault="00971688" w:rsidP="00971688">
      <w:pPr>
        <w:spacing w:after="0"/>
        <w:ind w:right="0"/>
        <w:rPr>
          <w:rFonts w:cs="Times New Roman"/>
          <w:lang w:val="en-GB" w:eastAsia="en-US"/>
        </w:rPr>
      </w:pPr>
      <w:r w:rsidRPr="00971688">
        <w:rPr>
          <w:rFonts w:cs="Times New Roman"/>
          <w:lang w:val="en-GB" w:eastAsia="en-US"/>
        </w:rPr>
        <w:t xml:space="preserve">Achieving a level playing field will be </w:t>
      </w:r>
      <w:r w:rsidRPr="002D11F1">
        <w:rPr>
          <w:rFonts w:cs="Times New Roman"/>
          <w:highlight w:val="yellow"/>
          <w:lang w:val="en-GB" w:eastAsia="en-US"/>
        </w:rPr>
        <w:t>essential for the EU to meet its ambitions in the fields of fisheries and, to a greater extent, ocean governance</w:t>
      </w:r>
      <w:r w:rsidRPr="00971688">
        <w:rPr>
          <w:rFonts w:cs="Times New Roman"/>
          <w:lang w:val="en-GB" w:eastAsia="en-US"/>
        </w:rPr>
        <w:t>. The EU’s ambitions in these areas reflect its important responsibilities as a major “fisheries” and ocean player and its international commitments – particularly in delivering the United Nations 2030 Agenda on Sustainable Development Goals (SDGs).</w:t>
      </w:r>
    </w:p>
    <w:p w14:paraId="10B75BBF" w14:textId="77777777" w:rsidR="00971688" w:rsidRPr="00971688" w:rsidRDefault="00971688" w:rsidP="00971688">
      <w:pPr>
        <w:spacing w:after="0"/>
        <w:ind w:right="0"/>
        <w:rPr>
          <w:rFonts w:cs="Times New Roman"/>
          <w:lang w:val="en-GB" w:eastAsia="en-US"/>
        </w:rPr>
      </w:pPr>
    </w:p>
    <w:p w14:paraId="65476682" w14:textId="77777777" w:rsidR="00971688" w:rsidRPr="00971688" w:rsidRDefault="00971688" w:rsidP="00971688">
      <w:pPr>
        <w:spacing w:after="0"/>
        <w:ind w:right="0"/>
        <w:rPr>
          <w:rFonts w:cs="Times New Roman"/>
          <w:lang w:val="en-GB" w:eastAsia="en-US"/>
        </w:rPr>
      </w:pPr>
      <w:r w:rsidRPr="00971688">
        <w:rPr>
          <w:rFonts w:cs="Times New Roman"/>
          <w:lang w:val="en-GB" w:eastAsia="en-US"/>
        </w:rPr>
        <w:t xml:space="preserve">In this piece of advice, the LDAC reviewed the policy ins and outs of level playing field in a number of areas relevant to the activities of EU fishing vessels and EU capital value chains outside Union waters and, to a greater extent, to the positioning of the EU vis-à-vis other major fisheries players. </w:t>
      </w:r>
    </w:p>
    <w:p w14:paraId="7F3464EF" w14:textId="77777777" w:rsidR="00971688" w:rsidRPr="00971688" w:rsidRDefault="00971688" w:rsidP="00971688">
      <w:pPr>
        <w:spacing w:after="0"/>
        <w:ind w:right="0"/>
        <w:rPr>
          <w:rFonts w:cs="Times New Roman"/>
          <w:lang w:val="en-GB" w:eastAsia="en-US"/>
        </w:rPr>
      </w:pPr>
    </w:p>
    <w:p w14:paraId="1811319E" w14:textId="77777777" w:rsidR="00971688" w:rsidRPr="00971688" w:rsidRDefault="00971688" w:rsidP="00971688">
      <w:pPr>
        <w:spacing w:after="0"/>
        <w:ind w:right="0"/>
        <w:rPr>
          <w:rFonts w:cs="Times New Roman"/>
          <w:lang w:val="en-GB" w:eastAsia="en-US"/>
        </w:rPr>
      </w:pPr>
      <w:r w:rsidRPr="00971688">
        <w:rPr>
          <w:rFonts w:cs="Times New Roman"/>
          <w:lang w:val="en-GB" w:eastAsia="en-US"/>
        </w:rPr>
        <w:t xml:space="preserve">The LDAC found that the achievement of a level playing field in international fisheries affairs is affected – and challenged – by many factors and in several areas. Globally, an even level playing field is yet to be achieved. </w:t>
      </w:r>
    </w:p>
    <w:p w14:paraId="66A93990" w14:textId="77777777" w:rsidR="00971688" w:rsidRPr="00971688" w:rsidRDefault="00971688" w:rsidP="00971688">
      <w:pPr>
        <w:spacing w:after="0"/>
        <w:ind w:right="0"/>
        <w:rPr>
          <w:rFonts w:cs="Times New Roman"/>
          <w:lang w:val="en-GB" w:eastAsia="en-US"/>
        </w:rPr>
      </w:pPr>
    </w:p>
    <w:p w14:paraId="051227E0" w14:textId="7722F1AD" w:rsidR="00971688" w:rsidRPr="00971688" w:rsidRDefault="00971688" w:rsidP="00971688">
      <w:pPr>
        <w:spacing w:after="0"/>
        <w:ind w:right="0"/>
        <w:rPr>
          <w:rFonts w:cs="Times New Roman"/>
          <w:lang w:val="en-GB" w:eastAsia="en-US"/>
        </w:rPr>
      </w:pPr>
      <w:r w:rsidRPr="00971688">
        <w:rPr>
          <w:rFonts w:cs="Times New Roman"/>
          <w:lang w:val="en-GB" w:eastAsia="en-US"/>
        </w:rPr>
        <w:t xml:space="preserve">The distortive effects of an uneven level playing field negatively affect the </w:t>
      </w:r>
      <w:r w:rsidRPr="0094646A">
        <w:rPr>
          <w:rFonts w:cs="Times New Roman"/>
          <w:highlight w:val="yellow"/>
          <w:lang w:val="en-GB" w:eastAsia="en-US"/>
        </w:rPr>
        <w:t>EU fisheries sector whose competitiveness is undermined by players not subject to or sharing equivalent high environmental, social or labour standards</w:t>
      </w:r>
      <w:r w:rsidRPr="00971688">
        <w:rPr>
          <w:rFonts w:cs="Times New Roman"/>
          <w:lang w:val="en-GB" w:eastAsia="en-US"/>
        </w:rPr>
        <w:t>. It also directly contributes to jeopardising the world’s collective capacity to achieve the objectives of the 2030 Agenda for Sustainable Development.</w:t>
      </w:r>
    </w:p>
    <w:p w14:paraId="249078B2" w14:textId="77777777" w:rsidR="00971688" w:rsidRPr="00971688" w:rsidRDefault="00971688" w:rsidP="00971688">
      <w:pPr>
        <w:spacing w:after="0"/>
        <w:ind w:right="0"/>
        <w:rPr>
          <w:rFonts w:cs="Times New Roman"/>
          <w:lang w:val="en-GB" w:eastAsia="en-US"/>
        </w:rPr>
      </w:pPr>
    </w:p>
    <w:p w14:paraId="5573009B" w14:textId="77777777" w:rsidR="00971688" w:rsidRPr="00971688" w:rsidRDefault="00971688" w:rsidP="00971688">
      <w:pPr>
        <w:spacing w:after="0"/>
        <w:ind w:right="0"/>
        <w:rPr>
          <w:rFonts w:cs="Times New Roman"/>
          <w:lang w:val="en-GB" w:eastAsia="en-US"/>
        </w:rPr>
      </w:pPr>
      <w:r w:rsidRPr="00971688">
        <w:rPr>
          <w:rFonts w:cs="Times New Roman"/>
          <w:lang w:val="en-GB" w:eastAsia="en-US"/>
        </w:rPr>
        <w:t>While it is clear to the LDAC that the polices adopted by other players outside the EU can be a serious impediment to achieving an even level playing field, this undertaking is also an internal challenge, within the EU, between Member States.</w:t>
      </w:r>
    </w:p>
    <w:p w14:paraId="37EB2023" w14:textId="77777777" w:rsidR="00971688" w:rsidRPr="00971688" w:rsidRDefault="00971688" w:rsidP="00971688">
      <w:pPr>
        <w:spacing w:after="0"/>
        <w:ind w:right="0"/>
        <w:rPr>
          <w:rFonts w:cs="Times New Roman"/>
          <w:lang w:val="en-GB" w:eastAsia="en-US"/>
        </w:rPr>
      </w:pPr>
    </w:p>
    <w:p w14:paraId="523CB2C9" w14:textId="77777777" w:rsidR="00971688" w:rsidRPr="00971688" w:rsidRDefault="00971688" w:rsidP="00971688">
      <w:pPr>
        <w:spacing w:after="0"/>
        <w:ind w:right="0"/>
        <w:rPr>
          <w:rFonts w:cs="Times New Roman"/>
          <w:lang w:val="en-GB" w:eastAsia="en-US"/>
        </w:rPr>
      </w:pPr>
      <w:r w:rsidRPr="00971688">
        <w:rPr>
          <w:rFonts w:cs="Times New Roman"/>
          <w:lang w:val="en-GB" w:eastAsia="en-US"/>
        </w:rPr>
        <w:t xml:space="preserve">The </w:t>
      </w:r>
      <w:r w:rsidRPr="0094646A">
        <w:rPr>
          <w:rFonts w:cs="Times New Roman"/>
          <w:highlight w:val="yellow"/>
          <w:lang w:val="en-GB" w:eastAsia="en-US"/>
        </w:rPr>
        <w:t>LDAC has identified numerous opportunities for the EU to progress</w:t>
      </w:r>
      <w:r w:rsidRPr="00971688">
        <w:rPr>
          <w:rFonts w:cs="Times New Roman"/>
          <w:lang w:val="en-GB" w:eastAsia="en-US"/>
        </w:rPr>
        <w:t xml:space="preserve"> and leverage in achieving an even level playing field. </w:t>
      </w:r>
    </w:p>
    <w:p w14:paraId="7DA39B36" w14:textId="77777777" w:rsidR="00971688" w:rsidRPr="00971688" w:rsidRDefault="00971688" w:rsidP="00971688">
      <w:pPr>
        <w:spacing w:after="0"/>
        <w:ind w:right="0"/>
        <w:rPr>
          <w:rFonts w:cs="Times New Roman"/>
          <w:lang w:val="en-GB" w:eastAsia="en-US"/>
        </w:rPr>
      </w:pPr>
    </w:p>
    <w:p w14:paraId="088670CA" w14:textId="77777777" w:rsidR="00971688" w:rsidRPr="00971688" w:rsidRDefault="00971688" w:rsidP="00971688">
      <w:pPr>
        <w:spacing w:after="0"/>
        <w:ind w:right="0"/>
        <w:rPr>
          <w:rFonts w:cs="Times New Roman"/>
          <w:lang w:val="en-GB" w:eastAsia="en-US"/>
        </w:rPr>
      </w:pPr>
      <w:r w:rsidRPr="00971688">
        <w:rPr>
          <w:rFonts w:cs="Times New Roman"/>
          <w:lang w:val="en-GB" w:eastAsia="en-US"/>
        </w:rPr>
        <w:t xml:space="preserve">Internally, it requires the </w:t>
      </w:r>
      <w:r w:rsidRPr="0094646A">
        <w:rPr>
          <w:rFonts w:cs="Times New Roman"/>
          <w:highlight w:val="yellow"/>
          <w:lang w:val="en-GB" w:eastAsia="en-US"/>
        </w:rPr>
        <w:t>EU to renew its efforts at ensuring effective and harmonised implementation of EU law.</w:t>
      </w:r>
      <w:r w:rsidRPr="00971688">
        <w:rPr>
          <w:rFonts w:cs="Times New Roman"/>
          <w:lang w:val="en-GB" w:eastAsia="en-US"/>
        </w:rPr>
        <w:t xml:space="preserve"> Developing, adopting and </w:t>
      </w:r>
      <w:r w:rsidRPr="0094646A">
        <w:rPr>
          <w:rFonts w:cs="Times New Roman"/>
          <w:highlight w:val="yellow"/>
          <w:lang w:val="en-GB" w:eastAsia="en-US"/>
        </w:rPr>
        <w:t>implementing operational and policy solutions to improve EU systems and instruments should be contemplated</w:t>
      </w:r>
      <w:r w:rsidRPr="00971688">
        <w:rPr>
          <w:rFonts w:cs="Times New Roman"/>
          <w:lang w:val="en-GB" w:eastAsia="en-US"/>
        </w:rPr>
        <w:t xml:space="preserve"> where necessary. It also requires achieving across-the-board </w:t>
      </w:r>
      <w:r w:rsidRPr="0094646A">
        <w:rPr>
          <w:rFonts w:cs="Times New Roman"/>
          <w:highlight w:val="yellow"/>
          <w:lang w:val="en-GB" w:eastAsia="en-US"/>
        </w:rPr>
        <w:t>policy consistency, transparency and inclusiveness</w:t>
      </w:r>
      <w:r w:rsidRPr="00971688">
        <w:rPr>
          <w:rFonts w:cs="Times New Roman"/>
          <w:lang w:val="en-GB" w:eastAsia="en-US"/>
        </w:rPr>
        <w:t>; as well as ensuring the adequacy of resources dedicated to the formulation and implementation of EU’s policies with the ambitions set.</w:t>
      </w:r>
    </w:p>
    <w:p w14:paraId="28A1A6C3" w14:textId="77777777" w:rsidR="00971688" w:rsidRPr="00971688" w:rsidRDefault="00971688" w:rsidP="00971688">
      <w:pPr>
        <w:spacing w:after="0"/>
        <w:ind w:right="0"/>
        <w:rPr>
          <w:rFonts w:cs="Times New Roman"/>
          <w:lang w:val="en-GB" w:eastAsia="en-US"/>
        </w:rPr>
      </w:pPr>
    </w:p>
    <w:p w14:paraId="5C875537" w14:textId="77777777" w:rsidR="00971688" w:rsidRPr="00971688" w:rsidRDefault="00971688" w:rsidP="00971688">
      <w:pPr>
        <w:spacing w:after="0"/>
        <w:ind w:right="0"/>
        <w:rPr>
          <w:rFonts w:cs="Times New Roman"/>
          <w:lang w:val="en-GB" w:eastAsia="en-US"/>
        </w:rPr>
      </w:pPr>
      <w:r w:rsidRPr="00971688">
        <w:rPr>
          <w:rFonts w:cs="Times New Roman"/>
          <w:lang w:val="en-GB" w:eastAsia="en-US"/>
        </w:rPr>
        <w:t xml:space="preserve">Externally, the EU should use its power to constructively leverage improved fisheries and ocean governance standards through promoting the ratification and effective implementation of all relevant international legal instruments and active participation of all concerned states in the relevant multilateral fora, as well as best practices in fisheries and ocean governance. The EU possesses innovative and powerful instruments to do so. </w:t>
      </w:r>
    </w:p>
    <w:p w14:paraId="4EDCF8AB" w14:textId="77777777" w:rsidR="00971688" w:rsidRPr="00971688" w:rsidRDefault="00971688" w:rsidP="00971688">
      <w:pPr>
        <w:spacing w:after="0"/>
        <w:ind w:right="0"/>
        <w:rPr>
          <w:rFonts w:cs="Times New Roman"/>
          <w:lang w:val="en-GB" w:eastAsia="en-US"/>
        </w:rPr>
      </w:pPr>
    </w:p>
    <w:p w14:paraId="0E3CA239" w14:textId="77777777" w:rsidR="00971688" w:rsidRPr="00971688" w:rsidRDefault="00971688" w:rsidP="00971688">
      <w:pPr>
        <w:spacing w:after="0"/>
        <w:ind w:right="0"/>
        <w:rPr>
          <w:rFonts w:cs="Times New Roman"/>
          <w:lang w:val="en-GB" w:eastAsia="en-US"/>
        </w:rPr>
      </w:pPr>
      <w:r w:rsidRPr="00971688">
        <w:rPr>
          <w:rFonts w:cs="Times New Roman"/>
          <w:lang w:val="en-GB" w:eastAsia="en-US"/>
        </w:rPr>
        <w:t xml:space="preserve">Where necessary and when duly justified, in an effort to </w:t>
      </w:r>
      <w:r w:rsidRPr="0010375B">
        <w:rPr>
          <w:rFonts w:cs="Times New Roman"/>
          <w:highlight w:val="yellow"/>
          <w:lang w:val="en-GB" w:eastAsia="en-US"/>
        </w:rPr>
        <w:t>rectify situations of unaddressed uneven level playing field, the EU should however not refrain from taking strong unilateral measures</w:t>
      </w:r>
      <w:r w:rsidRPr="00971688">
        <w:rPr>
          <w:rFonts w:cs="Times New Roman"/>
          <w:lang w:val="en-GB" w:eastAsia="en-US"/>
        </w:rPr>
        <w:t xml:space="preserve">. The EU’s </w:t>
      </w:r>
      <w:r w:rsidRPr="00971688">
        <w:rPr>
          <w:rFonts w:cs="Times New Roman"/>
          <w:i/>
          <w:iCs/>
          <w:lang w:val="en-GB" w:eastAsia="en-US"/>
        </w:rPr>
        <w:t>acquis communautaire</w:t>
      </w:r>
      <w:r w:rsidRPr="00971688">
        <w:rPr>
          <w:rFonts w:cs="Times New Roman"/>
          <w:lang w:val="en-GB" w:eastAsia="en-US"/>
        </w:rPr>
        <w:t xml:space="preserve"> could be reinforced to that end, drawing on coercive tools successfully implemented in the EU or abroad. </w:t>
      </w:r>
    </w:p>
    <w:p w14:paraId="47281FFA" w14:textId="77777777" w:rsidR="00971688" w:rsidRPr="00971688" w:rsidRDefault="00971688" w:rsidP="00971688">
      <w:pPr>
        <w:spacing w:after="0"/>
        <w:ind w:right="0"/>
        <w:rPr>
          <w:rFonts w:cs="Times New Roman"/>
          <w:lang w:val="en-GB" w:eastAsia="en-US"/>
        </w:rPr>
      </w:pPr>
    </w:p>
    <w:p w14:paraId="695F874B" w14:textId="77777777" w:rsidR="00971688" w:rsidRPr="00971688" w:rsidRDefault="00971688" w:rsidP="00971688">
      <w:pPr>
        <w:spacing w:after="0"/>
        <w:ind w:right="0"/>
        <w:rPr>
          <w:rFonts w:cs="Times New Roman"/>
          <w:lang w:val="en-GB" w:eastAsia="en-US"/>
        </w:rPr>
      </w:pPr>
      <w:r w:rsidRPr="00971688">
        <w:rPr>
          <w:rFonts w:cs="Times New Roman"/>
          <w:lang w:val="en-GB" w:eastAsia="en-US"/>
        </w:rPr>
        <w:t xml:space="preserve">The credibility of the EU in promoting its interests and standards in the world goes hand-in-hand with its </w:t>
      </w:r>
      <w:r w:rsidRPr="0010375B">
        <w:rPr>
          <w:rFonts w:cs="Times New Roman"/>
          <w:highlight w:val="yellow"/>
          <w:lang w:val="en-GB" w:eastAsia="en-US"/>
        </w:rPr>
        <w:t>capacity to be irreproachable at home, and to abide by its commitment to policy coherence for development</w:t>
      </w:r>
      <w:r w:rsidRPr="00971688">
        <w:rPr>
          <w:rFonts w:cs="Times New Roman"/>
          <w:vertAlign w:val="superscript"/>
          <w:lang w:val="en-GB" w:eastAsia="en-US"/>
        </w:rPr>
        <w:footnoteReference w:id="11"/>
      </w:r>
      <w:r w:rsidRPr="00971688">
        <w:rPr>
          <w:rFonts w:cs="Times New Roman"/>
          <w:lang w:val="en-GB" w:eastAsia="en-US"/>
        </w:rPr>
        <w:t xml:space="preserve"> and </w:t>
      </w:r>
      <w:r w:rsidRPr="0010375B">
        <w:rPr>
          <w:rFonts w:cs="Times New Roman"/>
          <w:highlight w:val="yellow"/>
          <w:lang w:val="en-GB" w:eastAsia="en-US"/>
        </w:rPr>
        <w:t>rules-based global order</w:t>
      </w:r>
      <w:r w:rsidRPr="00971688">
        <w:rPr>
          <w:rFonts w:cs="Times New Roman"/>
          <w:vertAlign w:val="superscript"/>
          <w:lang w:val="en-GB" w:eastAsia="en-US"/>
        </w:rPr>
        <w:footnoteReference w:id="12"/>
      </w:r>
      <w:r w:rsidRPr="00971688">
        <w:rPr>
          <w:rFonts w:cs="Times New Roman"/>
          <w:lang w:val="en-GB" w:eastAsia="en-US"/>
        </w:rPr>
        <w:t>. It will also build on its capacity to provide support to others in strengthening their own fisheries and ocean governance standards, and in leading by example in terms of fisheries training and information and communication technologies (ICTS).</w:t>
      </w:r>
    </w:p>
    <w:p w14:paraId="10D64169" w14:textId="77777777" w:rsidR="00971688" w:rsidRPr="00971688" w:rsidRDefault="00971688" w:rsidP="00971688">
      <w:pPr>
        <w:spacing w:after="0"/>
        <w:ind w:right="0"/>
        <w:rPr>
          <w:rFonts w:cs="Times New Roman"/>
          <w:lang w:val="en-GB" w:eastAsia="en-US"/>
        </w:rPr>
      </w:pPr>
    </w:p>
    <w:p w14:paraId="0698019C" w14:textId="77777777" w:rsidR="00971688" w:rsidRPr="00971688" w:rsidRDefault="00971688" w:rsidP="00971688">
      <w:pPr>
        <w:spacing w:after="0"/>
        <w:ind w:right="0"/>
        <w:rPr>
          <w:rFonts w:cs="Times New Roman"/>
          <w:lang w:val="en-GB" w:eastAsia="en-US"/>
        </w:rPr>
      </w:pPr>
      <w:r w:rsidRPr="00971688">
        <w:rPr>
          <w:rFonts w:cs="Times New Roman"/>
          <w:lang w:val="en-GB" w:eastAsia="en-US"/>
        </w:rPr>
        <w:t xml:space="preserve">This piece of advice formulates </w:t>
      </w:r>
      <w:r w:rsidRPr="007D4EEA">
        <w:rPr>
          <w:rFonts w:cs="Times New Roman"/>
          <w:highlight w:val="yellow"/>
          <w:lang w:val="en-GB" w:eastAsia="en-US"/>
        </w:rPr>
        <w:t>concrete and detailed recommendations</w:t>
      </w:r>
      <w:r w:rsidRPr="00971688">
        <w:rPr>
          <w:rFonts w:cs="Times New Roman"/>
          <w:lang w:val="en-GB" w:eastAsia="en-US"/>
        </w:rPr>
        <w:t xml:space="preserve"> to assist the European Commission to progress in achieving a global level playing field which could be used as basic guidelines for future policy developments, and, in this context, could </w:t>
      </w:r>
      <w:r w:rsidRPr="007D4EEA">
        <w:rPr>
          <w:rFonts w:cs="Times New Roman"/>
          <w:highlight w:val="yellow"/>
          <w:lang w:val="en-GB" w:eastAsia="en-US"/>
        </w:rPr>
        <w:t>contribute to a future revision of the external dimension of the EU Common Fisheries Policy.</w:t>
      </w:r>
    </w:p>
    <w:p w14:paraId="10827473" w14:textId="77777777" w:rsidR="00971688" w:rsidRPr="00971688" w:rsidRDefault="00971688" w:rsidP="00971688">
      <w:pPr>
        <w:spacing w:after="0"/>
        <w:ind w:right="0"/>
        <w:rPr>
          <w:rFonts w:cs="Times New Roman"/>
          <w:lang w:val="en-GB" w:eastAsia="en-US"/>
        </w:rPr>
      </w:pPr>
    </w:p>
    <w:p w14:paraId="3937641B" w14:textId="3CAC6D0B" w:rsidR="00EA1A75" w:rsidRDefault="00971688">
      <w:pPr>
        <w:rPr>
          <w:lang w:val="en-GB"/>
        </w:rPr>
      </w:pPr>
      <w:r w:rsidRPr="00971688">
        <w:rPr>
          <w:rFonts w:cs="Times New Roman"/>
          <w:lang w:val="en-GB" w:eastAsia="en-US"/>
        </w:rPr>
        <w:t xml:space="preserve">In a cross-cutting way, the LDAC encourages the European Commission to develop and implement </w:t>
      </w:r>
      <w:r w:rsidRPr="007D4EEA">
        <w:rPr>
          <w:rFonts w:cs="Times New Roman"/>
          <w:highlight w:val="yellow"/>
          <w:lang w:val="en-GB" w:eastAsia="en-US"/>
        </w:rPr>
        <w:t>comprehensive oceans and sea-based regional strategies – sharing common basic features – for improved fisheries and ocean governance</w:t>
      </w:r>
      <w:r w:rsidRPr="00971688">
        <w:rPr>
          <w:rFonts w:cs="Times New Roman"/>
          <w:lang w:val="en-GB" w:eastAsia="en-US"/>
        </w:rPr>
        <w:t>, and environmentally sustainable fisheries and socially responsible value chains</w:t>
      </w:r>
      <w:r w:rsidRPr="00971688">
        <w:rPr>
          <w:rFonts w:cs="Times New Roman"/>
          <w:vertAlign w:val="superscript"/>
          <w:lang w:val="en-GB" w:eastAsia="en-US"/>
        </w:rPr>
        <w:footnoteReference w:id="13"/>
      </w:r>
      <w:r w:rsidRPr="00971688">
        <w:rPr>
          <w:rFonts w:cs="Times New Roman"/>
          <w:lang w:val="en-GB" w:eastAsia="en-US"/>
        </w:rPr>
        <w:t xml:space="preserve"> that encompass regional-specific aspects pertaining to the level playing field. Such strategies would be a further step to build a strengthened and holistic coordinated political approach to level playing field vis-à-vis third countries.</w:t>
      </w:r>
      <w:bookmarkEnd w:id="4"/>
    </w:p>
    <w:p w14:paraId="761E2C34" w14:textId="77777777" w:rsidR="00E85AE6" w:rsidRPr="00E85AE6" w:rsidRDefault="00E85AE6">
      <w:pPr>
        <w:rPr>
          <w:lang w:val="en-GB"/>
        </w:rPr>
      </w:pPr>
    </w:p>
    <w:p w14:paraId="51D7511E" w14:textId="129E80B9" w:rsidR="00281246" w:rsidRPr="00882B51" w:rsidRDefault="00743AC7">
      <w:pPr>
        <w:widowControl w:val="0"/>
        <w:pBdr>
          <w:top w:val="single" w:sz="4" w:space="1" w:color="000000"/>
          <w:left w:val="single" w:sz="4" w:space="4" w:color="000000"/>
          <w:bottom w:val="single" w:sz="4" w:space="1" w:color="000000"/>
          <w:right w:val="single" w:sz="4" w:space="4" w:color="000000"/>
        </w:pBdr>
        <w:ind w:left="220"/>
        <w:rPr>
          <w:b/>
          <w:lang w:val="en-GB"/>
        </w:rPr>
      </w:pPr>
      <w:bookmarkStart w:id="5" w:name="_1fob9te" w:colFirst="0" w:colLast="0"/>
      <w:bookmarkEnd w:id="5"/>
      <w:r w:rsidRPr="00882B51">
        <w:rPr>
          <w:b/>
          <w:lang w:val="en-GB"/>
        </w:rPr>
        <w:t xml:space="preserve">CHAPTER I: International instruments related to governance of fisheries </w:t>
      </w:r>
      <w:r w:rsidR="00B24A51">
        <w:rPr>
          <w:b/>
          <w:lang w:val="en-GB"/>
        </w:rPr>
        <w:t>governance</w:t>
      </w:r>
    </w:p>
    <w:p w14:paraId="4C4FD818" w14:textId="77777777" w:rsidR="00281246" w:rsidRPr="00E94510" w:rsidRDefault="00743AC7">
      <w:pPr>
        <w:widowControl w:val="0"/>
        <w:rPr>
          <w:color w:val="222222"/>
          <w:lang w:val="en-GB"/>
        </w:rPr>
      </w:pPr>
      <w:r w:rsidRPr="00E94510">
        <w:rPr>
          <w:b/>
          <w:lang w:val="en-GB"/>
        </w:rPr>
        <w:t>1.1 -</w:t>
      </w:r>
      <w:r w:rsidRPr="00E94510">
        <w:rPr>
          <w:b/>
          <w:color w:val="1F497D"/>
          <w:lang w:val="en-GB"/>
        </w:rPr>
        <w:t xml:space="preserve"> </w:t>
      </w:r>
      <w:r w:rsidRPr="00E94510">
        <w:rPr>
          <w:b/>
          <w:lang w:val="en-GB"/>
        </w:rPr>
        <w:t>UN framework: key instruments (including UNCLOS and UN Fish Stock Agreement)</w:t>
      </w:r>
    </w:p>
    <w:p w14:paraId="2E21F5A6" w14:textId="67616692" w:rsidR="00281246" w:rsidRPr="00E94510" w:rsidRDefault="00743AC7">
      <w:pPr>
        <w:widowControl w:val="0"/>
        <w:rPr>
          <w:b/>
          <w:color w:val="1155CC"/>
          <w:u w:val="single"/>
          <w:lang w:val="en-GB"/>
        </w:rPr>
      </w:pPr>
      <w:r w:rsidRPr="00E94510">
        <w:rPr>
          <w:color w:val="222222"/>
          <w:lang w:val="en-GB"/>
        </w:rPr>
        <w:t>The cornerstone of the Law of the Sea, and therefore also for fisheries governance, is the United Nations Convention on the Law of the Sea</w:t>
      </w:r>
      <w:r w:rsidRPr="00E94510">
        <w:rPr>
          <w:color w:val="222222"/>
          <w:vertAlign w:val="superscript"/>
          <w:lang w:val="en-GB"/>
        </w:rPr>
        <w:footnoteReference w:id="14"/>
      </w:r>
      <w:r w:rsidRPr="00E94510">
        <w:rPr>
          <w:color w:val="222222"/>
          <w:lang w:val="en-GB"/>
        </w:rPr>
        <w:t xml:space="preserve"> (UNCLOS), which entered into force in 1994 and has been ratified by 168 parties, including the European Union itself. UNCLOS determines two important issues: on the one hand, it divides the oceans into maritime spaces laying down rules for coastal and third states. On the other hand, it reaffirms the idea that there are shared responsibilities regarding ocean governance, </w:t>
      </w:r>
      <w:r w:rsidR="005F185B" w:rsidRPr="00E94510">
        <w:rPr>
          <w:color w:val="222222"/>
          <w:lang w:val="en-GB"/>
        </w:rPr>
        <w:t>i.e.,</w:t>
      </w:r>
      <w:r w:rsidRPr="00E94510">
        <w:rPr>
          <w:color w:val="222222"/>
          <w:lang w:val="en-GB"/>
        </w:rPr>
        <w:t xml:space="preserve"> coastal, port and flag states altogether have their own area of responsibility in a broader sense</w:t>
      </w:r>
      <w:r w:rsidRPr="00E94510">
        <w:rPr>
          <w:color w:val="222222"/>
          <w:vertAlign w:val="superscript"/>
          <w:lang w:val="en-GB"/>
        </w:rPr>
        <w:footnoteReference w:id="15"/>
      </w:r>
      <w:r w:rsidRPr="00E94510">
        <w:rPr>
          <w:color w:val="222222"/>
          <w:lang w:val="en-GB"/>
        </w:rPr>
        <w:t>.</w:t>
      </w:r>
    </w:p>
    <w:p w14:paraId="67D9AE7B" w14:textId="223A9EC2" w:rsidR="00281246" w:rsidRPr="00E94510" w:rsidRDefault="00743AC7">
      <w:pPr>
        <w:widowControl w:val="0"/>
        <w:spacing w:before="240"/>
        <w:rPr>
          <w:color w:val="222222"/>
          <w:lang w:val="en-GB"/>
        </w:rPr>
      </w:pPr>
      <w:r w:rsidRPr="00E94510">
        <w:rPr>
          <w:color w:val="222222"/>
          <w:lang w:val="en-GB"/>
        </w:rPr>
        <w:t>So far, two additional Implementation Agreements to UNCLOS have been signed, relating to the Part XI of UNCLOS</w:t>
      </w:r>
      <w:r w:rsidRPr="00E94510">
        <w:rPr>
          <w:color w:val="222222"/>
          <w:vertAlign w:val="superscript"/>
          <w:lang w:val="en-GB"/>
        </w:rPr>
        <w:footnoteReference w:id="16"/>
      </w:r>
      <w:r w:rsidRPr="00E94510">
        <w:rPr>
          <w:color w:val="222222"/>
          <w:lang w:val="en-GB"/>
        </w:rPr>
        <w:t xml:space="preserve"> and the UN Fish Stocks Agreements of 1995 (UNFSA). The latter has been ratified by 91 parties so far, and lays down the principle of cooperation to ensure the conservation and sustainable use of highly migratory and straddling fish stocks. In addition, the UNFSA is the basis for the creation of Regional Fisheries Management Organisations (RFMOs). A third implementation Agreement of UNCLOS is being negotiated, the so-called BBNJ</w:t>
      </w:r>
      <w:r w:rsidRPr="00E94510">
        <w:rPr>
          <w:color w:val="222222"/>
          <w:vertAlign w:val="superscript"/>
          <w:lang w:val="en-GB"/>
        </w:rPr>
        <w:footnoteReference w:id="17"/>
      </w:r>
      <w:r w:rsidRPr="00E94510">
        <w:rPr>
          <w:color w:val="222222"/>
          <w:lang w:val="en-GB"/>
        </w:rPr>
        <w:t>, whose objective is to create a legally binding instrument related to the conservation and sustainable use of marine biological diversity in areas beyond national jurisdiction. The implementation of the future agreement shall “</w:t>
      </w:r>
      <w:r w:rsidRPr="00E94510">
        <w:rPr>
          <w:i/>
          <w:color w:val="222222"/>
          <w:lang w:val="en-GB"/>
        </w:rPr>
        <w:t>promote cooperation and coordination with and among relevant legal instruments and frameworks and relevant global, regional, subregional and sectoral bodies.</w:t>
      </w:r>
      <w:r w:rsidRPr="00E94510">
        <w:rPr>
          <w:color w:val="222222"/>
          <w:vertAlign w:val="superscript"/>
          <w:lang w:val="en-GB"/>
        </w:rPr>
        <w:footnoteReference w:id="18"/>
      </w:r>
      <w:r w:rsidR="00C52FDE">
        <w:rPr>
          <w:i/>
          <w:color w:val="222222"/>
          <w:lang w:val="en-GB"/>
        </w:rPr>
        <w:t>”</w:t>
      </w:r>
    </w:p>
    <w:p w14:paraId="50927081" w14:textId="77C90382" w:rsidR="007F1485" w:rsidRDefault="00743AC7">
      <w:pPr>
        <w:widowControl w:val="0"/>
        <w:rPr>
          <w:color w:val="222222"/>
          <w:lang w:val="en-GB"/>
        </w:rPr>
      </w:pPr>
      <w:r w:rsidRPr="00E94510">
        <w:rPr>
          <w:color w:val="222222"/>
          <w:lang w:val="en-GB"/>
        </w:rPr>
        <w:t xml:space="preserve">Since the adoption and entry into force of UNCLOS, the international codification process has progressed and resulted in a set of international instruments addressing and regulating specific issues in fisheries as well as addressing social aspects related to the fisheries sector. The overall aim of all instruments is to guarantee a sustainable use of fisheries resources and clarify rights and obligations of states and economic actors. The following table gives an overview of the most important international instruments: </w:t>
      </w:r>
    </w:p>
    <w:p w14:paraId="759877C0" w14:textId="753705BF" w:rsidR="00715D03" w:rsidRDefault="00715D03">
      <w:pPr>
        <w:widowControl w:val="0"/>
        <w:rPr>
          <w:color w:val="222222"/>
          <w:lang w:val="en-GB"/>
        </w:rPr>
      </w:pPr>
    </w:p>
    <w:p w14:paraId="5AE45A1C" w14:textId="77777777" w:rsidR="00715D03" w:rsidRPr="00E94510" w:rsidRDefault="00715D03">
      <w:pPr>
        <w:widowControl w:val="0"/>
        <w:rPr>
          <w:color w:val="222222"/>
          <w:lang w:val="en-GB"/>
        </w:rPr>
      </w:pPr>
    </w:p>
    <w:tbl>
      <w:tblPr>
        <w:tblStyle w:val="a"/>
        <w:tblW w:w="9510"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4935"/>
        <w:gridCol w:w="4575"/>
      </w:tblGrid>
      <w:tr w:rsidR="00281246" w:rsidRPr="00E94510" w14:paraId="1253CD8C" w14:textId="77777777">
        <w:trPr>
          <w:trHeight w:val="673"/>
        </w:trPr>
        <w:tc>
          <w:tcPr>
            <w:tcW w:w="4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1E667" w14:textId="77777777" w:rsidR="00281246" w:rsidRPr="00E94510" w:rsidRDefault="00743AC7">
            <w:pPr>
              <w:widowControl w:val="0"/>
              <w:spacing w:before="240" w:after="240"/>
              <w:jc w:val="center"/>
              <w:rPr>
                <w:b/>
                <w:color w:val="FFFFFF"/>
                <w:lang w:val="en-GB"/>
              </w:rPr>
            </w:pPr>
            <w:r w:rsidRPr="00E94510">
              <w:rPr>
                <w:b/>
                <w:color w:val="FFFFFF"/>
                <w:lang w:val="en-GB"/>
              </w:rPr>
              <w:lastRenderedPageBreak/>
              <w:t>Most relevant legally binding conventions</w:t>
            </w:r>
          </w:p>
        </w:tc>
        <w:tc>
          <w:tcPr>
            <w:tcW w:w="45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C0D90E" w14:textId="77777777" w:rsidR="00281246" w:rsidRPr="00E94510" w:rsidRDefault="00743AC7">
            <w:pPr>
              <w:widowControl w:val="0"/>
              <w:spacing w:before="240" w:after="240"/>
              <w:jc w:val="center"/>
              <w:rPr>
                <w:b/>
                <w:color w:val="FFFFFF"/>
                <w:lang w:val="en-GB"/>
              </w:rPr>
            </w:pPr>
            <w:r w:rsidRPr="00E94510">
              <w:rPr>
                <w:b/>
                <w:color w:val="FFFFFF"/>
                <w:lang w:val="en-GB"/>
              </w:rPr>
              <w:t>Broadly recognized voluntary instruments</w:t>
            </w:r>
          </w:p>
        </w:tc>
      </w:tr>
      <w:tr w:rsidR="00281246" w:rsidRPr="004B3125" w14:paraId="31AFC867" w14:textId="77777777">
        <w:trPr>
          <w:trHeight w:val="2700"/>
        </w:trPr>
        <w:tc>
          <w:tcPr>
            <w:tcW w:w="4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013712" w14:textId="3DE93C23" w:rsidR="00281246" w:rsidRPr="00E94510" w:rsidRDefault="00743AC7">
            <w:pPr>
              <w:widowControl w:val="0"/>
              <w:numPr>
                <w:ilvl w:val="0"/>
                <w:numId w:val="19"/>
              </w:numPr>
              <w:rPr>
                <w:color w:val="FFFFFF"/>
                <w:lang w:val="en-GB"/>
              </w:rPr>
            </w:pPr>
            <w:r w:rsidRPr="00E94510">
              <w:rPr>
                <w:color w:val="FFFFFF"/>
                <w:lang w:val="en-GB"/>
              </w:rPr>
              <w:t xml:space="preserve">UNCLOS </w:t>
            </w:r>
          </w:p>
          <w:p w14:paraId="2DAA84C2" w14:textId="77777777" w:rsidR="00281246" w:rsidRPr="00E94510" w:rsidRDefault="00743AC7">
            <w:pPr>
              <w:widowControl w:val="0"/>
              <w:numPr>
                <w:ilvl w:val="0"/>
                <w:numId w:val="19"/>
              </w:numPr>
              <w:rPr>
                <w:color w:val="FFFFFF"/>
                <w:lang w:val="en-GB"/>
              </w:rPr>
            </w:pPr>
            <w:r w:rsidRPr="00E94510">
              <w:rPr>
                <w:color w:val="FFFFFF"/>
                <w:lang w:val="en-GB"/>
              </w:rPr>
              <w:t>FAO Compliance Agreement</w:t>
            </w:r>
            <w:r w:rsidRPr="00E94510">
              <w:rPr>
                <w:color w:val="FFFFFF"/>
                <w:vertAlign w:val="superscript"/>
                <w:lang w:val="en-GB"/>
              </w:rPr>
              <w:footnoteReference w:id="19"/>
            </w:r>
          </w:p>
          <w:p w14:paraId="01B3CA71" w14:textId="37B4E561" w:rsidR="00281246" w:rsidRPr="00E94510" w:rsidRDefault="00743AC7">
            <w:pPr>
              <w:widowControl w:val="0"/>
              <w:numPr>
                <w:ilvl w:val="0"/>
                <w:numId w:val="19"/>
              </w:numPr>
              <w:rPr>
                <w:color w:val="FFFFFF"/>
                <w:lang w:val="en-GB"/>
              </w:rPr>
            </w:pPr>
            <w:r w:rsidRPr="00E94510">
              <w:rPr>
                <w:color w:val="FFFFFF"/>
                <w:lang w:val="en-GB"/>
              </w:rPr>
              <w:t>UNFSA</w:t>
            </w:r>
          </w:p>
          <w:p w14:paraId="6969FADC" w14:textId="77777777" w:rsidR="00281246" w:rsidRPr="00E94510" w:rsidRDefault="00743AC7">
            <w:pPr>
              <w:widowControl w:val="0"/>
              <w:numPr>
                <w:ilvl w:val="0"/>
                <w:numId w:val="19"/>
              </w:numPr>
              <w:rPr>
                <w:color w:val="FFFFFF"/>
                <w:lang w:val="en-GB"/>
              </w:rPr>
            </w:pPr>
            <w:r w:rsidRPr="00E94510">
              <w:rPr>
                <w:color w:val="FFFFFF"/>
                <w:lang w:val="en-GB"/>
              </w:rPr>
              <w:t xml:space="preserve">Agreement on Port State Measures (PSMA) </w:t>
            </w:r>
          </w:p>
          <w:p w14:paraId="21C9B167" w14:textId="77777777" w:rsidR="00281246" w:rsidRPr="00E94510" w:rsidRDefault="00281246">
            <w:pPr>
              <w:widowControl w:val="0"/>
              <w:ind w:left="720"/>
              <w:rPr>
                <w:color w:val="FFFFFF"/>
                <w:lang w:val="en-GB"/>
              </w:rPr>
            </w:pPr>
          </w:p>
          <w:p w14:paraId="51A780FA" w14:textId="77777777" w:rsidR="00281246" w:rsidRPr="00E94510" w:rsidRDefault="00281246">
            <w:pPr>
              <w:widowControl w:val="0"/>
              <w:rPr>
                <w:color w:val="FFFFFF"/>
                <w:lang w:val="en-GB"/>
              </w:rPr>
            </w:pPr>
          </w:p>
          <w:p w14:paraId="220BD861" w14:textId="77777777" w:rsidR="00281246" w:rsidRPr="00E94510" w:rsidRDefault="00281246">
            <w:pPr>
              <w:widowControl w:val="0"/>
              <w:ind w:left="720"/>
              <w:rPr>
                <w:color w:val="222222"/>
                <w:lang w:val="en-GB"/>
              </w:rPr>
            </w:pPr>
          </w:p>
        </w:tc>
        <w:tc>
          <w:tcPr>
            <w:tcW w:w="4575" w:type="dxa"/>
            <w:tcBorders>
              <w:top w:val="nil"/>
              <w:left w:val="nil"/>
              <w:bottom w:val="single" w:sz="8" w:space="0" w:color="000000"/>
              <w:right w:val="single" w:sz="8" w:space="0" w:color="000000"/>
            </w:tcBorders>
            <w:tcMar>
              <w:top w:w="100" w:type="dxa"/>
              <w:left w:w="100" w:type="dxa"/>
              <w:bottom w:w="100" w:type="dxa"/>
              <w:right w:w="100" w:type="dxa"/>
            </w:tcMar>
          </w:tcPr>
          <w:p w14:paraId="3B78C7BF" w14:textId="77777777" w:rsidR="00281246" w:rsidRPr="00E94510" w:rsidRDefault="00743AC7">
            <w:pPr>
              <w:widowControl w:val="0"/>
              <w:numPr>
                <w:ilvl w:val="0"/>
                <w:numId w:val="17"/>
              </w:numPr>
              <w:rPr>
                <w:color w:val="FFFFFF"/>
                <w:lang w:val="en-GB"/>
              </w:rPr>
            </w:pPr>
            <w:r w:rsidRPr="00E94510">
              <w:rPr>
                <w:color w:val="FFFFFF"/>
                <w:lang w:val="en-GB"/>
              </w:rPr>
              <w:t>FAO Code of Conduct for Responsible Fisheries and related instruments</w:t>
            </w:r>
          </w:p>
          <w:p w14:paraId="2393C14E" w14:textId="77777777" w:rsidR="00281246" w:rsidRPr="00E94510" w:rsidRDefault="00743AC7">
            <w:pPr>
              <w:widowControl w:val="0"/>
              <w:numPr>
                <w:ilvl w:val="0"/>
                <w:numId w:val="17"/>
              </w:numPr>
              <w:rPr>
                <w:color w:val="FFFFFF"/>
                <w:lang w:val="en-GB"/>
              </w:rPr>
            </w:pPr>
            <w:r w:rsidRPr="00E94510">
              <w:rPr>
                <w:color w:val="FFFFFF"/>
                <w:lang w:val="en-GB"/>
              </w:rPr>
              <w:t>IPOA-IUU</w:t>
            </w:r>
            <w:r w:rsidRPr="00E94510">
              <w:rPr>
                <w:color w:val="FFFFFF"/>
                <w:vertAlign w:val="superscript"/>
                <w:lang w:val="en-GB"/>
              </w:rPr>
              <w:footnoteReference w:id="20"/>
            </w:r>
          </w:p>
          <w:p w14:paraId="766B9BC8" w14:textId="77777777" w:rsidR="00281246" w:rsidRPr="00E94510" w:rsidRDefault="00743AC7">
            <w:pPr>
              <w:widowControl w:val="0"/>
              <w:numPr>
                <w:ilvl w:val="0"/>
                <w:numId w:val="17"/>
              </w:numPr>
              <w:rPr>
                <w:color w:val="FFFFFF"/>
                <w:lang w:val="en-GB"/>
              </w:rPr>
            </w:pPr>
            <w:r w:rsidRPr="00E94510">
              <w:rPr>
                <w:color w:val="FFFFFF"/>
                <w:lang w:val="en-GB"/>
              </w:rPr>
              <w:t>Voluntary Guidelines for Flag State Performance</w:t>
            </w:r>
          </w:p>
          <w:p w14:paraId="19444EAE" w14:textId="6C96149A" w:rsidR="00281246" w:rsidRPr="00E94510" w:rsidRDefault="00743AC7">
            <w:pPr>
              <w:widowControl w:val="0"/>
              <w:numPr>
                <w:ilvl w:val="0"/>
                <w:numId w:val="17"/>
              </w:numPr>
              <w:rPr>
                <w:color w:val="FFFFFF"/>
                <w:lang w:val="en-GB"/>
              </w:rPr>
            </w:pPr>
            <w:r w:rsidRPr="00E94510">
              <w:rPr>
                <w:color w:val="FFFFFF"/>
                <w:lang w:val="en-GB"/>
              </w:rPr>
              <w:t>Voluntary Guidelines for Catch Documentation Schemes</w:t>
            </w:r>
          </w:p>
          <w:p w14:paraId="6C8B28F9" w14:textId="77777777" w:rsidR="00281246" w:rsidRPr="00E94510" w:rsidRDefault="00743AC7">
            <w:pPr>
              <w:widowControl w:val="0"/>
              <w:numPr>
                <w:ilvl w:val="0"/>
                <w:numId w:val="17"/>
              </w:numPr>
              <w:rPr>
                <w:color w:val="FFFFFF"/>
                <w:lang w:val="en-GB"/>
              </w:rPr>
            </w:pPr>
            <w:r w:rsidRPr="00E94510">
              <w:rPr>
                <w:color w:val="FFFFFF"/>
                <w:lang w:val="en-GB"/>
              </w:rPr>
              <w:t>International Guidelines on Bycatch Management and Reduction of Discards</w:t>
            </w:r>
          </w:p>
        </w:tc>
      </w:tr>
    </w:tbl>
    <w:p w14:paraId="5FB297D6" w14:textId="77777777" w:rsidR="001E7EE9" w:rsidRDefault="001E7EE9">
      <w:pPr>
        <w:widowControl w:val="0"/>
        <w:spacing w:before="240"/>
        <w:rPr>
          <w:color w:val="222222"/>
          <w:highlight w:val="white"/>
          <w:lang w:val="en-US"/>
        </w:rPr>
      </w:pPr>
    </w:p>
    <w:p w14:paraId="3FA7D948" w14:textId="48898B52" w:rsidR="00281246" w:rsidRPr="00E94510" w:rsidRDefault="009345E7">
      <w:pPr>
        <w:widowControl w:val="0"/>
        <w:spacing w:before="240"/>
        <w:rPr>
          <w:color w:val="222222"/>
          <w:highlight w:val="white"/>
          <w:lang w:val="en-GB"/>
        </w:rPr>
      </w:pPr>
      <w:r w:rsidRPr="007D4EEA">
        <w:rPr>
          <w:color w:val="222222"/>
          <w:highlight w:val="yellow"/>
          <w:lang w:val="en-US"/>
        </w:rPr>
        <w:t>It</w:t>
      </w:r>
      <w:r w:rsidR="00DA16DD" w:rsidRPr="007D4EEA">
        <w:rPr>
          <w:color w:val="222222"/>
          <w:highlight w:val="yellow"/>
          <w:lang w:val="en-US"/>
        </w:rPr>
        <w:t xml:space="preserve"> is</w:t>
      </w:r>
      <w:r w:rsidRPr="007D4EEA">
        <w:rPr>
          <w:color w:val="222222"/>
          <w:highlight w:val="yellow"/>
          <w:lang w:val="en-US"/>
        </w:rPr>
        <w:t xml:space="preserve"> well known that </w:t>
      </w:r>
      <w:r w:rsidRPr="007D4EEA">
        <w:rPr>
          <w:color w:val="222222"/>
          <w:highlight w:val="yellow"/>
          <w:lang w:val="en-GB"/>
        </w:rPr>
        <w:t>t</w:t>
      </w:r>
      <w:r w:rsidR="00743AC7" w:rsidRPr="007D4EEA">
        <w:rPr>
          <w:color w:val="222222"/>
          <w:highlight w:val="yellow"/>
          <w:lang w:val="en-GB"/>
        </w:rPr>
        <w:t>he effectiveness of legally binding instruments depends on the number of ratifications and the subsequent robust implementation</w:t>
      </w:r>
      <w:r w:rsidR="00743AC7" w:rsidRPr="00E94510">
        <w:rPr>
          <w:color w:val="222222"/>
          <w:highlight w:val="white"/>
          <w:lang w:val="en-GB"/>
        </w:rPr>
        <w:t xml:space="preserve">. While the latter point must be </w:t>
      </w:r>
      <w:r w:rsidR="007C4211" w:rsidRPr="00E94510">
        <w:rPr>
          <w:color w:val="222222"/>
          <w:highlight w:val="white"/>
          <w:lang w:val="en-GB"/>
        </w:rPr>
        <w:t>analysed</w:t>
      </w:r>
      <w:r w:rsidR="00743AC7" w:rsidRPr="00E94510">
        <w:rPr>
          <w:color w:val="222222"/>
          <w:highlight w:val="white"/>
          <w:lang w:val="en-GB"/>
        </w:rPr>
        <w:t xml:space="preserve"> </w:t>
      </w:r>
      <w:r w:rsidR="00C52FDE">
        <w:rPr>
          <w:color w:val="222222"/>
          <w:highlight w:val="white"/>
          <w:lang w:val="en-GB"/>
        </w:rPr>
        <w:t xml:space="preserve">on a </w:t>
      </w:r>
      <w:r w:rsidR="00C52FDE" w:rsidRPr="00E94510">
        <w:rPr>
          <w:color w:val="222222"/>
          <w:highlight w:val="white"/>
          <w:lang w:val="en-GB"/>
        </w:rPr>
        <w:t>case-by-case</w:t>
      </w:r>
      <w:r w:rsidR="00C52FDE">
        <w:rPr>
          <w:color w:val="222222"/>
          <w:highlight w:val="white"/>
          <w:lang w:val="en-GB"/>
        </w:rPr>
        <w:t xml:space="preserve"> basis</w:t>
      </w:r>
      <w:r w:rsidR="00743AC7" w:rsidRPr="00E94510">
        <w:rPr>
          <w:color w:val="222222"/>
          <w:highlight w:val="white"/>
          <w:lang w:val="en-GB"/>
        </w:rPr>
        <w:t xml:space="preserve">, the situation of ratifications of the world’s biggest producers is </w:t>
      </w:r>
      <w:r>
        <w:rPr>
          <w:color w:val="222222"/>
          <w:highlight w:val="white"/>
          <w:lang w:val="en-GB"/>
        </w:rPr>
        <w:t xml:space="preserve">reflected </w:t>
      </w:r>
      <w:r w:rsidR="00743AC7" w:rsidRPr="00E94510">
        <w:rPr>
          <w:color w:val="222222"/>
          <w:highlight w:val="white"/>
          <w:lang w:val="en-GB"/>
        </w:rPr>
        <w:t xml:space="preserve">in the table in </w:t>
      </w:r>
      <w:r w:rsidR="00743AC7" w:rsidRPr="00E94510">
        <w:rPr>
          <w:b/>
          <w:color w:val="222222"/>
          <w:highlight w:val="white"/>
          <w:lang w:val="en-GB"/>
        </w:rPr>
        <w:t xml:space="preserve">Annex I. </w:t>
      </w:r>
      <w:r w:rsidR="00743AC7" w:rsidRPr="00E94510">
        <w:rPr>
          <w:color w:val="222222"/>
          <w:highlight w:val="white"/>
          <w:lang w:val="en-GB"/>
        </w:rPr>
        <w:t xml:space="preserve">What the analysis shows is that there is still much work to do. In order to give an example: the FAO Compliance Agreement whose objective is that flag states strengthen their controls over vessels flying its flag to </w:t>
      </w:r>
      <w:r w:rsidR="00C52FDE">
        <w:rPr>
          <w:color w:val="222222"/>
          <w:highlight w:val="white"/>
          <w:lang w:val="en-GB"/>
        </w:rPr>
        <w:t xml:space="preserve">ensure </w:t>
      </w:r>
      <w:r w:rsidR="00743AC7" w:rsidRPr="00E94510">
        <w:rPr>
          <w:color w:val="222222"/>
          <w:highlight w:val="white"/>
          <w:lang w:val="en-GB"/>
        </w:rPr>
        <w:t>compliance with international conservation and management measures, has only been ratified by one out of the world’s top five producers</w:t>
      </w:r>
      <w:r w:rsidR="00C52FDE">
        <w:rPr>
          <w:color w:val="222222"/>
          <w:highlight w:val="white"/>
          <w:lang w:val="en-GB"/>
        </w:rPr>
        <w:t xml:space="preserve"> (</w:t>
      </w:r>
      <w:r w:rsidR="005F185B">
        <w:rPr>
          <w:color w:val="222222"/>
          <w:highlight w:val="white"/>
          <w:lang w:val="en-GB"/>
        </w:rPr>
        <w:t>i.e.,</w:t>
      </w:r>
      <w:r w:rsidR="00C52FDE">
        <w:rPr>
          <w:color w:val="222222"/>
          <w:highlight w:val="white"/>
          <w:lang w:val="en-GB"/>
        </w:rPr>
        <w:t xml:space="preserve"> the EU)</w:t>
      </w:r>
      <w:r w:rsidR="00743AC7" w:rsidRPr="00E94510">
        <w:rPr>
          <w:color w:val="222222"/>
          <w:highlight w:val="white"/>
          <w:lang w:val="en-GB"/>
        </w:rPr>
        <w:t xml:space="preserve">. </w:t>
      </w:r>
    </w:p>
    <w:p w14:paraId="25476C09" w14:textId="0499E58F" w:rsidR="00281246" w:rsidRPr="00E94510" w:rsidRDefault="00743AC7">
      <w:pPr>
        <w:widowControl w:val="0"/>
        <w:spacing w:before="240"/>
        <w:rPr>
          <w:color w:val="222222"/>
          <w:highlight w:val="white"/>
          <w:lang w:val="en-GB"/>
        </w:rPr>
      </w:pPr>
      <w:r w:rsidRPr="00E94510">
        <w:rPr>
          <w:color w:val="222222"/>
          <w:highlight w:val="white"/>
          <w:lang w:val="en-GB"/>
        </w:rPr>
        <w:t xml:space="preserve">International legally binding instruments aim at </w:t>
      </w:r>
      <w:r w:rsidRPr="007D4EEA">
        <w:rPr>
          <w:color w:val="222222"/>
          <w:highlight w:val="yellow"/>
          <w:lang w:val="en-GB"/>
        </w:rPr>
        <w:t>laying down common norms with the objective of achieving a specific goal</w:t>
      </w:r>
      <w:r w:rsidRPr="00E94510">
        <w:rPr>
          <w:color w:val="222222"/>
          <w:highlight w:val="white"/>
          <w:lang w:val="en-GB"/>
        </w:rPr>
        <w:t xml:space="preserve">. In practice, the compliance with legally binding norms implies higher costs for economic operators. In the highly internationalised value chain of fisheries products an uneven level of compliance has detrimental effects on natural resources and has negative impacts on all dimensions of sustainability, </w:t>
      </w:r>
      <w:r w:rsidR="005F185B" w:rsidRPr="00E94510">
        <w:rPr>
          <w:color w:val="222222"/>
          <w:highlight w:val="white"/>
          <w:lang w:val="en-GB"/>
        </w:rPr>
        <w:t>i.e.,</w:t>
      </w:r>
      <w:r w:rsidRPr="00E94510">
        <w:rPr>
          <w:color w:val="222222"/>
          <w:highlight w:val="white"/>
          <w:lang w:val="en-GB"/>
        </w:rPr>
        <w:t xml:space="preserve"> social, economic and environmental. In practice, this means for economic operators who comply fully with all requirements in favour of the sustainable use of stocks to bear higher operating costs that leads, eventually, to undermining an international level playing field. Apart from endangering responsible businesses, </w:t>
      </w:r>
      <w:r w:rsidRPr="00871F06">
        <w:rPr>
          <w:color w:val="222222"/>
          <w:highlight w:val="yellow"/>
          <w:lang w:val="en-GB"/>
        </w:rPr>
        <w:t>it could lead to situations where these companies migrate to states or regions with fewer restrictions.</w:t>
      </w:r>
      <w:r w:rsidRPr="00E94510">
        <w:rPr>
          <w:color w:val="222222"/>
          <w:highlight w:val="white"/>
          <w:lang w:val="en-GB"/>
        </w:rPr>
        <w:t xml:space="preserve"> Higher operating costs could also lead to a situation where the possible economic losses may be counteracted at the cost of the fishe</w:t>
      </w:r>
      <w:r w:rsidR="00C52FDE">
        <w:rPr>
          <w:color w:val="222222"/>
          <w:highlight w:val="white"/>
          <w:lang w:val="en-GB"/>
        </w:rPr>
        <w:t>rs</w:t>
      </w:r>
      <w:r w:rsidRPr="00E94510">
        <w:rPr>
          <w:color w:val="222222"/>
          <w:highlight w:val="white"/>
          <w:lang w:val="en-GB"/>
        </w:rPr>
        <w:t xml:space="preserve">’ salary and/or </w:t>
      </w:r>
      <w:r w:rsidR="007C4211" w:rsidRPr="00E94510">
        <w:rPr>
          <w:color w:val="222222"/>
          <w:highlight w:val="white"/>
          <w:lang w:val="en-GB"/>
        </w:rPr>
        <w:t>workload</w:t>
      </w:r>
      <w:r w:rsidRPr="00E94510">
        <w:rPr>
          <w:color w:val="222222"/>
          <w:highlight w:val="white"/>
          <w:lang w:val="en-GB"/>
        </w:rPr>
        <w:t>.</w:t>
      </w:r>
    </w:p>
    <w:p w14:paraId="4EAA8A07" w14:textId="77777777" w:rsidR="001E7EE9" w:rsidRDefault="001E7EE9">
      <w:pPr>
        <w:rPr>
          <w:b/>
          <w:color w:val="222222"/>
          <w:highlight w:val="white"/>
          <w:lang w:val="en-GB"/>
        </w:rPr>
      </w:pPr>
      <w:r>
        <w:rPr>
          <w:b/>
          <w:color w:val="222222"/>
          <w:highlight w:val="white"/>
          <w:lang w:val="en-GB"/>
        </w:rPr>
        <w:br w:type="page"/>
      </w:r>
    </w:p>
    <w:p w14:paraId="400856AF" w14:textId="6177DEC8" w:rsidR="00281246" w:rsidRPr="00E94510" w:rsidRDefault="00743AC7">
      <w:pPr>
        <w:widowControl w:val="0"/>
        <w:spacing w:before="240"/>
        <w:rPr>
          <w:color w:val="222222"/>
          <w:highlight w:val="white"/>
          <w:lang w:val="en-GB"/>
        </w:rPr>
      </w:pPr>
      <w:r w:rsidRPr="00E94510">
        <w:rPr>
          <w:b/>
          <w:color w:val="222222"/>
          <w:highlight w:val="white"/>
          <w:lang w:val="en-GB"/>
        </w:rPr>
        <w:lastRenderedPageBreak/>
        <w:t>Recommendation</w:t>
      </w:r>
      <w:r w:rsidR="00B91A8A">
        <w:rPr>
          <w:b/>
          <w:color w:val="222222"/>
          <w:highlight w:val="white"/>
          <w:lang w:val="en-GB"/>
        </w:rPr>
        <w:t>s</w:t>
      </w:r>
      <w:r w:rsidRPr="00E94510">
        <w:rPr>
          <w:color w:val="222222"/>
          <w:highlight w:val="white"/>
          <w:lang w:val="en-GB"/>
        </w:rPr>
        <w:t>:</w:t>
      </w:r>
    </w:p>
    <w:p w14:paraId="1AF24102" w14:textId="2B0A08AD" w:rsidR="00281246" w:rsidRPr="00E94510" w:rsidRDefault="00743AC7">
      <w:pPr>
        <w:widowControl w:val="0"/>
        <w:spacing w:before="240"/>
        <w:rPr>
          <w:color w:val="222222"/>
          <w:highlight w:val="white"/>
          <w:lang w:val="en-GB"/>
        </w:rPr>
      </w:pPr>
      <w:r w:rsidRPr="00E94510">
        <w:rPr>
          <w:color w:val="222222"/>
          <w:highlight w:val="white"/>
          <w:lang w:val="en-GB"/>
        </w:rPr>
        <w:t xml:space="preserve">In view of the above, the LDAC would like to make the following recommendations to the </w:t>
      </w:r>
      <w:r w:rsidR="001E7EE9">
        <w:rPr>
          <w:color w:val="222222"/>
          <w:highlight w:val="white"/>
          <w:lang w:val="en-GB"/>
        </w:rPr>
        <w:t>EC</w:t>
      </w:r>
      <w:r w:rsidRPr="00E94510">
        <w:rPr>
          <w:color w:val="222222"/>
          <w:highlight w:val="white"/>
          <w:lang w:val="en-GB"/>
        </w:rPr>
        <w:t>, to:</w:t>
      </w:r>
    </w:p>
    <w:p w14:paraId="5AB49D80" w14:textId="77777777" w:rsidR="00281246" w:rsidRPr="00E94510" w:rsidRDefault="00743AC7">
      <w:pPr>
        <w:widowControl w:val="0"/>
        <w:numPr>
          <w:ilvl w:val="0"/>
          <w:numId w:val="14"/>
        </w:numPr>
        <w:spacing w:before="240"/>
        <w:rPr>
          <w:b/>
          <w:color w:val="222222"/>
          <w:highlight w:val="white"/>
          <w:lang w:val="en-GB"/>
        </w:rPr>
      </w:pPr>
      <w:r w:rsidRPr="00E94510">
        <w:rPr>
          <w:b/>
          <w:color w:val="222222"/>
          <w:highlight w:val="white"/>
          <w:lang w:val="en-GB"/>
        </w:rPr>
        <w:t xml:space="preserve">Call on </w:t>
      </w:r>
      <w:r w:rsidRPr="00871F06">
        <w:rPr>
          <w:b/>
          <w:color w:val="222222"/>
          <w:highlight w:val="yellow"/>
          <w:lang w:val="en-GB"/>
        </w:rPr>
        <w:t xml:space="preserve">Member States to fully comply with the provisions </w:t>
      </w:r>
      <w:r w:rsidRPr="00E94510">
        <w:rPr>
          <w:b/>
          <w:color w:val="222222"/>
          <w:highlight w:val="white"/>
          <w:lang w:val="en-GB"/>
        </w:rPr>
        <w:t xml:space="preserve">laid down in the international treaties listed in Annex I. </w:t>
      </w:r>
    </w:p>
    <w:p w14:paraId="5E0B250B" w14:textId="07F97668" w:rsidR="00281246" w:rsidRPr="00E94510" w:rsidRDefault="00743AC7">
      <w:pPr>
        <w:widowControl w:val="0"/>
        <w:numPr>
          <w:ilvl w:val="0"/>
          <w:numId w:val="14"/>
        </w:numPr>
        <w:spacing w:before="240"/>
        <w:rPr>
          <w:b/>
          <w:color w:val="222222"/>
          <w:highlight w:val="white"/>
          <w:lang w:val="en-GB"/>
        </w:rPr>
      </w:pPr>
      <w:r w:rsidRPr="00E94510">
        <w:rPr>
          <w:b/>
          <w:color w:val="222222"/>
          <w:highlight w:val="white"/>
          <w:lang w:val="en-GB"/>
        </w:rPr>
        <w:t>In its relation</w:t>
      </w:r>
      <w:r w:rsidR="00C51AAA">
        <w:rPr>
          <w:b/>
          <w:color w:val="222222"/>
          <w:highlight w:val="white"/>
          <w:lang w:val="en-GB"/>
        </w:rPr>
        <w:t>s</w:t>
      </w:r>
      <w:r w:rsidRPr="00E94510">
        <w:rPr>
          <w:b/>
          <w:color w:val="222222"/>
          <w:highlight w:val="white"/>
          <w:lang w:val="en-GB"/>
        </w:rPr>
        <w:t xml:space="preserve"> with third countries, urge them to have </w:t>
      </w:r>
      <w:r w:rsidRPr="00871F06">
        <w:rPr>
          <w:b/>
          <w:color w:val="222222"/>
          <w:highlight w:val="yellow"/>
          <w:lang w:val="en-GB"/>
        </w:rPr>
        <w:t>ratified the treaties and prove correct implementation</w:t>
      </w:r>
      <w:r w:rsidRPr="00E94510">
        <w:rPr>
          <w:b/>
          <w:color w:val="222222"/>
          <w:highlight w:val="white"/>
          <w:lang w:val="en-GB"/>
        </w:rPr>
        <w:t xml:space="preserve">. It must be guaranteed that when trading in fishery products with third countries, the conditions for </w:t>
      </w:r>
      <w:r w:rsidRPr="00871F06">
        <w:rPr>
          <w:b/>
          <w:color w:val="222222"/>
          <w:highlight w:val="yellow"/>
          <w:lang w:val="en-GB"/>
        </w:rPr>
        <w:t xml:space="preserve">fair competition should be ensured as dictated by the common organisation of the markets in fishery and aquaculture products </w:t>
      </w:r>
      <w:r w:rsidRPr="00E94510">
        <w:rPr>
          <w:b/>
          <w:color w:val="222222"/>
          <w:highlight w:val="white"/>
          <w:lang w:val="en-GB"/>
        </w:rPr>
        <w:t>(Regulation (EU) No 1379/2013</w:t>
      </w:r>
      <w:r w:rsidRPr="00E94510">
        <w:rPr>
          <w:b/>
          <w:color w:val="222222"/>
          <w:highlight w:val="white"/>
          <w:vertAlign w:val="superscript"/>
          <w:lang w:val="en-GB"/>
        </w:rPr>
        <w:footnoteReference w:id="21"/>
      </w:r>
      <w:r w:rsidRPr="00E94510">
        <w:rPr>
          <w:b/>
          <w:color w:val="222222"/>
          <w:highlight w:val="white"/>
          <w:lang w:val="en-GB"/>
        </w:rPr>
        <w:t xml:space="preserve">), and in particular through respect for sustainability and the application of social standards equivalent to those which apply to Union products. </w:t>
      </w:r>
    </w:p>
    <w:p w14:paraId="6C990643" w14:textId="77777777" w:rsidR="00281246" w:rsidRPr="00E94510" w:rsidRDefault="00743AC7">
      <w:pPr>
        <w:widowControl w:val="0"/>
        <w:rPr>
          <w:lang w:val="en-GB"/>
        </w:rPr>
      </w:pPr>
      <w:r w:rsidRPr="00E94510">
        <w:rPr>
          <w:b/>
          <w:lang w:val="en-GB"/>
        </w:rPr>
        <w:t>1.2 - EU Regulation on the fight against IUU fishing</w:t>
      </w:r>
    </w:p>
    <w:p w14:paraId="45922E6D" w14:textId="77777777" w:rsidR="00281246" w:rsidRPr="00E94510" w:rsidRDefault="00743AC7">
      <w:pPr>
        <w:rPr>
          <w:lang w:val="en-GB"/>
        </w:rPr>
      </w:pPr>
      <w:r w:rsidRPr="00E94510">
        <w:rPr>
          <w:lang w:val="en-GB"/>
        </w:rPr>
        <w:t>Illegal, unreported and unregulated (IUU) fishing was defined for the first time in 2001 in the FAO International Plan of Action to prevent, deter and eliminate IUU fishing (IPOA-IUU)</w:t>
      </w:r>
      <w:r w:rsidRPr="00E94510">
        <w:rPr>
          <w:vertAlign w:val="superscript"/>
          <w:lang w:val="en-GB"/>
        </w:rPr>
        <w:footnoteReference w:id="22"/>
      </w:r>
      <w:r w:rsidRPr="00E94510">
        <w:rPr>
          <w:lang w:val="en-GB"/>
        </w:rPr>
        <w:t>. The definition laid down in the IPOA-IUU has been mirrored in EU law through Council Regulation (EC) No 1005/2008 (EU IUU Regulation)</w:t>
      </w:r>
      <w:r w:rsidRPr="00E94510">
        <w:rPr>
          <w:vertAlign w:val="superscript"/>
          <w:lang w:val="en-GB"/>
        </w:rPr>
        <w:footnoteReference w:id="23"/>
      </w:r>
      <w:r w:rsidRPr="00E94510">
        <w:rPr>
          <w:lang w:val="en-GB"/>
        </w:rPr>
        <w:t>. IUU fishing may be broadly defined as the use of fishing methods or practices that contravene fisheries laws, regulations or conservation and management measures.</w:t>
      </w:r>
    </w:p>
    <w:p w14:paraId="140BEFA1" w14:textId="15F240F9" w:rsidR="00281246" w:rsidRPr="00E94510" w:rsidRDefault="00743AC7">
      <w:pPr>
        <w:rPr>
          <w:lang w:val="en-GB"/>
        </w:rPr>
      </w:pPr>
      <w:r w:rsidRPr="00E94510">
        <w:rPr>
          <w:lang w:val="en-GB"/>
        </w:rPr>
        <w:t xml:space="preserve">A </w:t>
      </w:r>
      <w:r w:rsidR="007C4211" w:rsidRPr="00614F62">
        <w:rPr>
          <w:highlight w:val="yellow"/>
          <w:lang w:val="en-GB"/>
        </w:rPr>
        <w:t>zero-tolerance</w:t>
      </w:r>
      <w:r w:rsidRPr="00614F62">
        <w:rPr>
          <w:highlight w:val="yellow"/>
          <w:lang w:val="en-GB"/>
        </w:rPr>
        <w:t xml:space="preserve"> approach to IUU fishing has been identified as a priority</w:t>
      </w:r>
      <w:r w:rsidRPr="00E94510">
        <w:rPr>
          <w:lang w:val="en-GB"/>
        </w:rPr>
        <w:t xml:space="preserve"> in the Communication on the European Green Deal for the European Union</w:t>
      </w:r>
      <w:r w:rsidRPr="00E94510">
        <w:rPr>
          <w:vertAlign w:val="superscript"/>
          <w:lang w:val="en-GB"/>
        </w:rPr>
        <w:footnoteReference w:id="24"/>
      </w:r>
      <w:r w:rsidRPr="00E94510">
        <w:rPr>
          <w:lang w:val="en-GB"/>
        </w:rPr>
        <w:t>. This approach is also an essential c</w:t>
      </w:r>
      <w:r w:rsidR="00C52FDE">
        <w:rPr>
          <w:lang w:val="en-GB"/>
        </w:rPr>
        <w:t>omponent</w:t>
      </w:r>
      <w:r w:rsidRPr="00E94510">
        <w:rPr>
          <w:lang w:val="en-GB"/>
        </w:rPr>
        <w:t xml:space="preserve"> of the EU Biodiversity Strategy for 2030</w:t>
      </w:r>
      <w:r w:rsidRPr="00E94510">
        <w:rPr>
          <w:vertAlign w:val="superscript"/>
          <w:lang w:val="en-GB"/>
        </w:rPr>
        <w:footnoteReference w:id="25"/>
      </w:r>
      <w:r w:rsidRPr="00E94510">
        <w:rPr>
          <w:lang w:val="en-GB"/>
        </w:rPr>
        <w:t xml:space="preserve"> and paramount to a global transition towards sustainable food systems, as stated in the F</w:t>
      </w:r>
      <w:r w:rsidR="00173C48">
        <w:rPr>
          <w:lang w:val="en-GB"/>
        </w:rPr>
        <w:t xml:space="preserve">arm to Fork </w:t>
      </w:r>
      <w:r w:rsidRPr="00E94510">
        <w:rPr>
          <w:lang w:val="en-GB"/>
        </w:rPr>
        <w:t>Strategy</w:t>
      </w:r>
      <w:r w:rsidR="00173C48">
        <w:rPr>
          <w:lang w:val="en-GB"/>
        </w:rPr>
        <w:t xml:space="preserve"> (F2F)</w:t>
      </w:r>
      <w:r w:rsidRPr="00E94510">
        <w:rPr>
          <w:vertAlign w:val="superscript"/>
          <w:lang w:val="en-GB"/>
        </w:rPr>
        <w:footnoteReference w:id="26"/>
      </w:r>
      <w:r w:rsidRPr="00E94510">
        <w:rPr>
          <w:lang w:val="en-GB"/>
        </w:rPr>
        <w:t>. Moreover, the EU’s policy against IUU fishing is an essential part of the leadership of the EU on international ocean governance</w:t>
      </w:r>
      <w:r w:rsidRPr="00E94510">
        <w:rPr>
          <w:vertAlign w:val="superscript"/>
          <w:lang w:val="en-GB"/>
        </w:rPr>
        <w:footnoteReference w:id="27"/>
      </w:r>
      <w:r w:rsidRPr="00E94510">
        <w:rPr>
          <w:lang w:val="en-GB"/>
        </w:rPr>
        <w:t>.</w:t>
      </w:r>
    </w:p>
    <w:p w14:paraId="28F4B9C6" w14:textId="320E1D61" w:rsidR="00281246" w:rsidRPr="00E94510" w:rsidRDefault="00743AC7">
      <w:pPr>
        <w:rPr>
          <w:lang w:val="en-GB"/>
        </w:rPr>
      </w:pPr>
      <w:r w:rsidRPr="00E94510">
        <w:rPr>
          <w:lang w:val="en-GB"/>
        </w:rPr>
        <w:t xml:space="preserve">Mainly driven by the perspective of short-term benefit and profiting from a lack of transparency in </w:t>
      </w:r>
      <w:r w:rsidRPr="00B04EF4">
        <w:rPr>
          <w:lang w:val="en-GB"/>
        </w:rPr>
        <w:t xml:space="preserve">global fisheries, </w:t>
      </w:r>
      <w:r w:rsidRPr="007C4211">
        <w:rPr>
          <w:lang w:val="en-GB"/>
        </w:rPr>
        <w:t xml:space="preserve">it </w:t>
      </w:r>
      <w:r w:rsidR="008A02A4" w:rsidRPr="007C4211">
        <w:rPr>
          <w:lang w:val="en-GB"/>
        </w:rPr>
        <w:t>was</w:t>
      </w:r>
      <w:r w:rsidRPr="007C4211">
        <w:rPr>
          <w:lang w:val="en-GB"/>
        </w:rPr>
        <w:t xml:space="preserve"> estimated </w:t>
      </w:r>
      <w:r w:rsidR="008A02A4" w:rsidRPr="007C4211">
        <w:rPr>
          <w:lang w:val="en-GB"/>
        </w:rPr>
        <w:t xml:space="preserve">in 2009 </w:t>
      </w:r>
      <w:r w:rsidRPr="007C4211">
        <w:rPr>
          <w:lang w:val="en-GB"/>
        </w:rPr>
        <w:t>that IUU fishing represent</w:t>
      </w:r>
      <w:r w:rsidR="008A02A4" w:rsidRPr="007C4211">
        <w:rPr>
          <w:lang w:val="en-GB"/>
        </w:rPr>
        <w:t>ed</w:t>
      </w:r>
      <w:r w:rsidRPr="007C4211">
        <w:rPr>
          <w:lang w:val="en-GB"/>
        </w:rPr>
        <w:t xml:space="preserve"> up to 26 million tonnes of fish caught annually, valued at up to EUR 20 billion</w:t>
      </w:r>
      <w:r w:rsidR="008A02A4" w:rsidRPr="007C4211">
        <w:rPr>
          <w:rStyle w:val="FootnoteReference"/>
          <w:lang w:val="en-GB"/>
        </w:rPr>
        <w:footnoteReference w:id="28"/>
      </w:r>
      <w:r w:rsidR="008A02A4" w:rsidRPr="007C4211">
        <w:rPr>
          <w:vertAlign w:val="superscript"/>
          <w:lang w:val="en-GB"/>
        </w:rPr>
        <w:t>,</w:t>
      </w:r>
      <w:r w:rsidRPr="007C4211">
        <w:rPr>
          <w:vertAlign w:val="superscript"/>
          <w:lang w:val="en-GB"/>
        </w:rPr>
        <w:footnoteReference w:id="29"/>
      </w:r>
      <w:r w:rsidRPr="00B04EF4">
        <w:rPr>
          <w:lang w:val="en-GB"/>
        </w:rPr>
        <w:t>. The consequences</w:t>
      </w:r>
      <w:r w:rsidRPr="00E94510">
        <w:rPr>
          <w:lang w:val="en-GB"/>
        </w:rPr>
        <w:t xml:space="preserve"> of IUU fishing are numerous, amongst them are: putting oceans ecosystems at serious risk, distorting competition by putting honest businesses at a disadvantage, misleading consumers and endangering the livelihoods of coastal communities, particularly in developing countries, incl</w:t>
      </w:r>
      <w:r w:rsidR="001E7EE9">
        <w:rPr>
          <w:lang w:val="en-GB"/>
        </w:rPr>
        <w:t>.</w:t>
      </w:r>
      <w:r w:rsidRPr="00E94510">
        <w:rPr>
          <w:lang w:val="en-GB"/>
        </w:rPr>
        <w:t xml:space="preserve"> from a food security perspective.</w:t>
      </w:r>
    </w:p>
    <w:p w14:paraId="4F87A2F1" w14:textId="09E222F4" w:rsidR="00281246" w:rsidRPr="00E94510" w:rsidRDefault="00743AC7">
      <w:pPr>
        <w:widowControl w:val="0"/>
        <w:rPr>
          <w:u w:val="single"/>
          <w:lang w:val="en-GB"/>
        </w:rPr>
      </w:pPr>
      <w:r w:rsidRPr="00E94510">
        <w:rPr>
          <w:lang w:val="en-GB"/>
        </w:rPr>
        <w:t xml:space="preserve">IUU fishing cannot be fought in isolation. </w:t>
      </w:r>
      <w:r w:rsidRPr="00614F62">
        <w:rPr>
          <w:highlight w:val="yellow"/>
          <w:lang w:val="en-GB"/>
        </w:rPr>
        <w:t xml:space="preserve">It requires every country to fulfil its international obligations as a flag, port, coastal, processing or market </w:t>
      </w:r>
      <w:r w:rsidR="00C52FDE" w:rsidRPr="00614F62">
        <w:rPr>
          <w:highlight w:val="yellow"/>
          <w:lang w:val="en-GB"/>
        </w:rPr>
        <w:t>s</w:t>
      </w:r>
      <w:r w:rsidRPr="00614F62">
        <w:rPr>
          <w:highlight w:val="yellow"/>
          <w:lang w:val="en-GB"/>
        </w:rPr>
        <w:t>tate and to cooperate in this endeavour.</w:t>
      </w:r>
      <w:r w:rsidRPr="00E94510">
        <w:rPr>
          <w:lang w:val="en-GB"/>
        </w:rPr>
        <w:t xml:space="preserve"> The failure of some states to discharge their relevant duties jeopardises the efforts of the willing ones and is one of the major impediments to the eradication of IUU fishing and meeting the SDG 14 (life below water)</w:t>
      </w:r>
      <w:r w:rsidRPr="00E94510">
        <w:rPr>
          <w:vertAlign w:val="superscript"/>
          <w:lang w:val="en-GB"/>
        </w:rPr>
        <w:footnoteReference w:id="30"/>
      </w:r>
      <w:r w:rsidRPr="00E94510">
        <w:rPr>
          <w:lang w:val="en-GB"/>
        </w:rPr>
        <w:t>. It also translates into the impossibility to achieve a</w:t>
      </w:r>
      <w:r w:rsidR="00C52FDE">
        <w:rPr>
          <w:lang w:val="en-GB"/>
        </w:rPr>
        <w:t>n even</w:t>
      </w:r>
      <w:r w:rsidRPr="00E94510">
        <w:rPr>
          <w:lang w:val="en-GB"/>
        </w:rPr>
        <w:t xml:space="preserve"> level playing field.</w:t>
      </w:r>
    </w:p>
    <w:p w14:paraId="5E1FD7EB" w14:textId="77777777" w:rsidR="00EA1A75" w:rsidRDefault="00EA1A75">
      <w:pPr>
        <w:rPr>
          <w:u w:val="single"/>
          <w:lang w:val="en-GB"/>
        </w:rPr>
      </w:pPr>
    </w:p>
    <w:p w14:paraId="2182D25E" w14:textId="1D082FD6" w:rsidR="00281246" w:rsidRPr="00E94510" w:rsidRDefault="00743AC7">
      <w:pPr>
        <w:rPr>
          <w:lang w:val="en-GB"/>
        </w:rPr>
      </w:pPr>
      <w:r w:rsidRPr="00E94510">
        <w:rPr>
          <w:u w:val="single"/>
          <w:lang w:val="en-GB"/>
        </w:rPr>
        <w:t>1.2.1 External level playing field</w:t>
      </w:r>
      <w:r w:rsidRPr="00E94510">
        <w:rPr>
          <w:lang w:val="en-GB"/>
        </w:rPr>
        <w:t>:</w:t>
      </w:r>
    </w:p>
    <w:p w14:paraId="32CD1952" w14:textId="77777777" w:rsidR="00281246" w:rsidRPr="00E94510" w:rsidRDefault="00743AC7">
      <w:pPr>
        <w:rPr>
          <w:lang w:val="en-GB"/>
        </w:rPr>
      </w:pPr>
      <w:r w:rsidRPr="00E94510">
        <w:rPr>
          <w:lang w:val="en-GB"/>
        </w:rPr>
        <w:t>Several factors negatively affect the ability of achieving an external level playing field in the fight against IUU fishing. One relates to the lack of ratification and implementation and, in some cases, violation of relevant international conventions and conservation and management measures by some states. Another one relates to the application of uneven standards, particularly amongst major fishing players, all along the supply chain from the moment of the capture to the introduction of the fisheries products in their final market.</w:t>
      </w:r>
    </w:p>
    <w:p w14:paraId="015128F9" w14:textId="1332C64F" w:rsidR="00281246" w:rsidRPr="00E94510" w:rsidRDefault="00743AC7">
      <w:pPr>
        <w:rPr>
          <w:lang w:val="en-GB"/>
        </w:rPr>
      </w:pPr>
      <w:r w:rsidRPr="00E94510">
        <w:rPr>
          <w:lang w:val="en-GB"/>
        </w:rPr>
        <w:t xml:space="preserve">The LDAC has long been recognising that the </w:t>
      </w:r>
      <w:r w:rsidRPr="00614F62">
        <w:rPr>
          <w:highlight w:val="yellow"/>
          <w:lang w:val="en-GB"/>
        </w:rPr>
        <w:t>EU IUU Regulation is an important tool to combat IUU fishing and has made the EU the worldwide front-runner in this endeavour</w:t>
      </w:r>
      <w:r w:rsidRPr="00E94510">
        <w:rPr>
          <w:vertAlign w:val="superscript"/>
          <w:lang w:val="en-GB"/>
        </w:rPr>
        <w:footnoteReference w:id="31"/>
      </w:r>
      <w:r w:rsidRPr="00E94510">
        <w:rPr>
          <w:vertAlign w:val="superscript"/>
          <w:lang w:val="en-GB"/>
        </w:rPr>
        <w:t>,</w:t>
      </w:r>
      <w:r w:rsidRPr="00E94510">
        <w:rPr>
          <w:vertAlign w:val="superscript"/>
          <w:lang w:val="en-GB"/>
        </w:rPr>
        <w:footnoteReference w:id="32"/>
      </w:r>
      <w:r w:rsidRPr="00E94510">
        <w:rPr>
          <w:lang w:val="en-GB"/>
        </w:rPr>
        <w:t>. By extension, the LDAC acknowledges that the EU IUU Regulation contributes to establishing a global level playing field in the fisheries sector as highlighted by the 2020 Report to the European Parliament and the Council on its application</w:t>
      </w:r>
      <w:r w:rsidRPr="00E94510">
        <w:rPr>
          <w:vertAlign w:val="superscript"/>
          <w:lang w:val="en-GB"/>
        </w:rPr>
        <w:footnoteReference w:id="33"/>
      </w:r>
      <w:r w:rsidRPr="00E94510">
        <w:rPr>
          <w:lang w:val="en-GB"/>
        </w:rPr>
        <w:t>. Though the EU’s policy against IUU fishing has had a positive impact globally, further efforts are required to achieve a</w:t>
      </w:r>
      <w:r w:rsidR="00C52FDE">
        <w:rPr>
          <w:lang w:val="en-GB"/>
        </w:rPr>
        <w:t>n even</w:t>
      </w:r>
      <w:r w:rsidRPr="00E94510">
        <w:rPr>
          <w:lang w:val="en-GB"/>
        </w:rPr>
        <w:t xml:space="preserve"> level playing field between the EU and other parties by </w:t>
      </w:r>
      <w:r w:rsidRPr="00614F62">
        <w:rPr>
          <w:highlight w:val="yellow"/>
          <w:lang w:val="en-GB"/>
        </w:rPr>
        <w:t>addressing the root causes</w:t>
      </w:r>
      <w:r w:rsidRPr="00E94510">
        <w:rPr>
          <w:lang w:val="en-GB"/>
        </w:rPr>
        <w:t xml:space="preserve"> that impede this situation.</w:t>
      </w:r>
    </w:p>
    <w:p w14:paraId="219D8531" w14:textId="77777777" w:rsidR="00281246" w:rsidRPr="00E94510" w:rsidRDefault="00743AC7">
      <w:pPr>
        <w:widowControl w:val="0"/>
        <w:spacing w:before="240" w:after="240"/>
        <w:rPr>
          <w:lang w:val="en-GB"/>
        </w:rPr>
      </w:pPr>
      <w:r w:rsidRPr="00E94510">
        <w:rPr>
          <w:b/>
          <w:color w:val="222222"/>
          <w:highlight w:val="white"/>
          <w:lang w:val="en-GB"/>
        </w:rPr>
        <w:t>Recommendations</w:t>
      </w:r>
      <w:r w:rsidRPr="00E94510">
        <w:rPr>
          <w:color w:val="222222"/>
          <w:highlight w:val="white"/>
          <w:lang w:val="en-GB"/>
        </w:rPr>
        <w:t>:</w:t>
      </w:r>
    </w:p>
    <w:p w14:paraId="330B6D23" w14:textId="77777777" w:rsidR="00281246" w:rsidRPr="007C4211" w:rsidRDefault="00743AC7">
      <w:pPr>
        <w:widowControl w:val="0"/>
        <w:spacing w:before="240" w:after="240"/>
        <w:rPr>
          <w:lang w:val="en-GB"/>
        </w:rPr>
      </w:pPr>
      <w:r w:rsidRPr="00E94510">
        <w:rPr>
          <w:lang w:val="en-GB"/>
        </w:rPr>
        <w:t xml:space="preserve">In view of the above, the LDAC would like to make the following recommendations to the European </w:t>
      </w:r>
      <w:r w:rsidRPr="007C4211">
        <w:rPr>
          <w:lang w:val="en-GB"/>
        </w:rPr>
        <w:t>Commission, to:</w:t>
      </w:r>
    </w:p>
    <w:p w14:paraId="38BBDB77" w14:textId="4087AB80" w:rsidR="00A6409B" w:rsidRPr="007C4211" w:rsidRDefault="008A02A4" w:rsidP="00296653">
      <w:pPr>
        <w:numPr>
          <w:ilvl w:val="0"/>
          <w:numId w:val="4"/>
        </w:numPr>
        <w:spacing w:after="220"/>
        <w:rPr>
          <w:b/>
          <w:lang w:val="en-GB"/>
        </w:rPr>
      </w:pPr>
      <w:r w:rsidRPr="007C4211">
        <w:rPr>
          <w:b/>
          <w:lang w:val="en-GB"/>
        </w:rPr>
        <w:t>Continue supporting the development of methodologies and indicators for the estimation of the magnitude and impact of IUU fishing</w:t>
      </w:r>
      <w:r w:rsidRPr="007C4211">
        <w:rPr>
          <w:rStyle w:val="FootnoteReference"/>
          <w:b/>
          <w:lang w:val="en-GB"/>
        </w:rPr>
        <w:footnoteReference w:id="34"/>
      </w:r>
      <w:r w:rsidRPr="007C4211">
        <w:rPr>
          <w:bCs/>
          <w:vertAlign w:val="superscript"/>
          <w:lang w:val="en-GB"/>
        </w:rPr>
        <w:t>,</w:t>
      </w:r>
      <w:r w:rsidRPr="007C4211">
        <w:rPr>
          <w:rStyle w:val="FootnoteReference"/>
          <w:b/>
          <w:lang w:val="en-GB"/>
        </w:rPr>
        <w:footnoteReference w:id="35"/>
      </w:r>
      <w:r w:rsidR="004B3DD8" w:rsidRPr="007C4211">
        <w:rPr>
          <w:b/>
          <w:lang w:val="en-GB"/>
        </w:rPr>
        <w:t xml:space="preserve"> and the efficiency of measures taken to combat it.</w:t>
      </w:r>
      <w:r w:rsidRPr="007C4211">
        <w:rPr>
          <w:b/>
          <w:lang w:val="en-GB"/>
        </w:rPr>
        <w:t xml:space="preserve"> </w:t>
      </w:r>
    </w:p>
    <w:p w14:paraId="5866AFDE" w14:textId="04AEE24B" w:rsidR="00281246" w:rsidRPr="007C4211" w:rsidRDefault="00743AC7">
      <w:pPr>
        <w:numPr>
          <w:ilvl w:val="0"/>
          <w:numId w:val="4"/>
        </w:numPr>
        <w:spacing w:after="220"/>
        <w:rPr>
          <w:b/>
          <w:lang w:val="en-GB"/>
        </w:rPr>
      </w:pPr>
      <w:r w:rsidRPr="007C4211">
        <w:rPr>
          <w:b/>
          <w:lang w:val="en-GB"/>
        </w:rPr>
        <w:t xml:space="preserve">Continue </w:t>
      </w:r>
      <w:r w:rsidRPr="00614F62">
        <w:rPr>
          <w:b/>
          <w:highlight w:val="yellow"/>
          <w:lang w:val="en-GB"/>
        </w:rPr>
        <w:t>promoting, worldwide and using all possible channels, the ratification and implementation of relevant international conventions and conservation and management measures including by making full use of all instruments under the EU IUU Regulation, particularly the catch certification scheme and the carding system</w:t>
      </w:r>
      <w:r w:rsidRPr="007C4211">
        <w:rPr>
          <w:b/>
          <w:lang w:val="en-GB"/>
        </w:rPr>
        <w:t>.</w:t>
      </w:r>
    </w:p>
    <w:p w14:paraId="7675B92A" w14:textId="0979DBEA" w:rsidR="00281246" w:rsidRPr="00E94510" w:rsidRDefault="00743AC7">
      <w:pPr>
        <w:numPr>
          <w:ilvl w:val="0"/>
          <w:numId w:val="4"/>
        </w:numPr>
        <w:spacing w:after="220"/>
        <w:rPr>
          <w:b/>
          <w:lang w:val="en-GB"/>
        </w:rPr>
      </w:pPr>
      <w:r w:rsidRPr="00E94510">
        <w:rPr>
          <w:b/>
          <w:lang w:val="en-GB"/>
        </w:rPr>
        <w:t xml:space="preserve">Prioritise action on states having adopted policies of convenience, with </w:t>
      </w:r>
      <w:r w:rsidRPr="00614F62">
        <w:rPr>
          <w:b/>
          <w:highlight w:val="yellow"/>
          <w:lang w:val="en-GB"/>
        </w:rPr>
        <w:t>a particular focus on well-established and emerging flags of convenience</w:t>
      </w:r>
      <w:r w:rsidRPr="00E94510">
        <w:rPr>
          <w:b/>
          <w:lang w:val="en-GB"/>
        </w:rPr>
        <w:t>, and/or</w:t>
      </w:r>
      <w:r w:rsidR="00C52FDE">
        <w:rPr>
          <w:b/>
          <w:lang w:val="en-GB"/>
        </w:rPr>
        <w:t xml:space="preserve"> having an</w:t>
      </w:r>
      <w:r w:rsidRPr="00E94510">
        <w:rPr>
          <w:b/>
          <w:lang w:val="en-GB"/>
        </w:rPr>
        <w:t xml:space="preserve"> inadequate administrative environment to ensure the efficient and effective performance of their duties as flag, coastal, port or market states.</w:t>
      </w:r>
    </w:p>
    <w:p w14:paraId="1D4D7CCB" w14:textId="77777777" w:rsidR="00281246" w:rsidRPr="00E94510" w:rsidRDefault="00743AC7">
      <w:pPr>
        <w:numPr>
          <w:ilvl w:val="0"/>
          <w:numId w:val="4"/>
        </w:numPr>
        <w:spacing w:after="220"/>
        <w:rPr>
          <w:b/>
          <w:lang w:val="en-GB"/>
        </w:rPr>
      </w:pPr>
      <w:r w:rsidRPr="00614F62">
        <w:rPr>
          <w:b/>
          <w:highlight w:val="yellow"/>
          <w:lang w:val="en-GB"/>
        </w:rPr>
        <w:t>Step up the engagement with other major fishing players</w:t>
      </w:r>
      <w:r w:rsidRPr="00E94510">
        <w:rPr>
          <w:b/>
          <w:lang w:val="en-GB"/>
        </w:rPr>
        <w:t>, including China, aiming at similar sustainability and transparency standards being applied to drive positive changes all along the supply chain. In this endeavour:</w:t>
      </w:r>
    </w:p>
    <w:p w14:paraId="40B92707" w14:textId="77777777" w:rsidR="00281246" w:rsidRPr="001F7172" w:rsidRDefault="00743AC7">
      <w:pPr>
        <w:numPr>
          <w:ilvl w:val="1"/>
          <w:numId w:val="4"/>
        </w:numPr>
        <w:rPr>
          <w:b/>
          <w:sz w:val="20"/>
          <w:szCs w:val="20"/>
          <w:lang w:val="en-GB"/>
        </w:rPr>
      </w:pPr>
      <w:r w:rsidRPr="001F7172">
        <w:rPr>
          <w:b/>
          <w:sz w:val="20"/>
          <w:szCs w:val="20"/>
          <w:lang w:val="en-GB"/>
        </w:rPr>
        <w:lastRenderedPageBreak/>
        <w:t xml:space="preserve">Wherever necessary, </w:t>
      </w:r>
      <w:r w:rsidRPr="00614F62">
        <w:rPr>
          <w:b/>
          <w:sz w:val="20"/>
          <w:szCs w:val="20"/>
          <w:highlight w:val="yellow"/>
          <w:lang w:val="en-GB"/>
        </w:rPr>
        <w:t>stand ready to make full use of all instruments under the EU IUU Regulation</w:t>
      </w:r>
      <w:r w:rsidRPr="001F7172">
        <w:rPr>
          <w:b/>
          <w:sz w:val="20"/>
          <w:szCs w:val="20"/>
          <w:lang w:val="en-GB"/>
        </w:rPr>
        <w:t xml:space="preserve"> (including evaluation missions and carding decisions but also strengthened import controls); and</w:t>
      </w:r>
    </w:p>
    <w:p w14:paraId="1A1B02A0" w14:textId="77777777" w:rsidR="00281246" w:rsidRPr="001F7172" w:rsidRDefault="00743AC7">
      <w:pPr>
        <w:numPr>
          <w:ilvl w:val="1"/>
          <w:numId w:val="4"/>
        </w:numPr>
        <w:rPr>
          <w:b/>
          <w:sz w:val="20"/>
          <w:szCs w:val="20"/>
          <w:lang w:val="en-GB"/>
        </w:rPr>
      </w:pPr>
      <w:r w:rsidRPr="001F7172">
        <w:rPr>
          <w:b/>
          <w:sz w:val="20"/>
          <w:szCs w:val="20"/>
          <w:lang w:val="en-GB"/>
        </w:rPr>
        <w:t xml:space="preserve">Strive </w:t>
      </w:r>
      <w:r w:rsidRPr="00614F62">
        <w:rPr>
          <w:b/>
          <w:sz w:val="20"/>
          <w:szCs w:val="20"/>
          <w:highlight w:val="yellow"/>
          <w:lang w:val="en-GB"/>
        </w:rPr>
        <w:t>to align import control schemes to remove loopholes</w:t>
      </w:r>
      <w:r w:rsidRPr="001F7172">
        <w:rPr>
          <w:b/>
          <w:sz w:val="20"/>
          <w:szCs w:val="20"/>
          <w:lang w:val="en-GB"/>
        </w:rPr>
        <w:t>, provide clarity for the industry, and enable information exchange, cross-referencing, trade facilitation and interoperability</w:t>
      </w:r>
      <w:r w:rsidRPr="001F7172">
        <w:rPr>
          <w:b/>
          <w:sz w:val="20"/>
          <w:szCs w:val="20"/>
          <w:vertAlign w:val="superscript"/>
          <w:lang w:val="en-GB"/>
        </w:rPr>
        <w:footnoteReference w:id="36"/>
      </w:r>
      <w:r w:rsidRPr="001F7172">
        <w:rPr>
          <w:b/>
          <w:sz w:val="20"/>
          <w:szCs w:val="20"/>
          <w:lang w:val="en-GB"/>
        </w:rPr>
        <w:t>.</w:t>
      </w:r>
    </w:p>
    <w:p w14:paraId="194067C1" w14:textId="0A4CACBE" w:rsidR="00281246" w:rsidRDefault="00743AC7">
      <w:pPr>
        <w:numPr>
          <w:ilvl w:val="0"/>
          <w:numId w:val="4"/>
        </w:numPr>
        <w:spacing w:after="220"/>
        <w:rPr>
          <w:b/>
          <w:lang w:val="en-GB"/>
        </w:rPr>
      </w:pPr>
      <w:r w:rsidRPr="00E94510">
        <w:rPr>
          <w:b/>
          <w:lang w:val="en-GB"/>
        </w:rPr>
        <w:t>Continue providing support to partner countries and other willing states whether they engage in a formal or informal dialogue with the European Commission under the EU IUU Regulation to increase their capacity to fight IUU fishing and effecting fundamental reforms of their fisheries policies.</w:t>
      </w:r>
    </w:p>
    <w:p w14:paraId="3A8BABCC" w14:textId="3D709130" w:rsidR="00296653" w:rsidRPr="00EF3971" w:rsidRDefault="00EF3971" w:rsidP="00EF3971">
      <w:pPr>
        <w:numPr>
          <w:ilvl w:val="0"/>
          <w:numId w:val="4"/>
        </w:numPr>
        <w:spacing w:after="220"/>
        <w:rPr>
          <w:b/>
          <w:lang w:val="en-GB"/>
        </w:rPr>
      </w:pPr>
      <w:r>
        <w:rPr>
          <w:b/>
          <w:lang w:val="en-GB"/>
        </w:rPr>
        <w:t xml:space="preserve">Continue, through the </w:t>
      </w:r>
      <w:r w:rsidRPr="00FF0466">
        <w:rPr>
          <w:b/>
          <w:lang w:val="en-GB"/>
        </w:rPr>
        <w:t>European Fisheries Control Agency</w:t>
      </w:r>
      <w:r>
        <w:rPr>
          <w:b/>
          <w:lang w:val="en-GB"/>
        </w:rPr>
        <w:t xml:space="preserve"> (EFCA), exploring the extension of the Joint Deployment Plan concept in the international dimension – in particular in the fight against IUU fishing – involving </w:t>
      </w:r>
      <w:r w:rsidR="00B04EF4">
        <w:rPr>
          <w:b/>
          <w:lang w:val="en-GB"/>
        </w:rPr>
        <w:t xml:space="preserve">capacity building and training for </w:t>
      </w:r>
      <w:r w:rsidR="005672DE">
        <w:rPr>
          <w:b/>
          <w:lang w:val="en-GB"/>
        </w:rPr>
        <w:t>monitoring, control and surveillance</w:t>
      </w:r>
      <w:r w:rsidR="00B04EF4">
        <w:rPr>
          <w:b/>
          <w:lang w:val="en-GB"/>
        </w:rPr>
        <w:t xml:space="preserve"> in </w:t>
      </w:r>
      <w:r>
        <w:rPr>
          <w:b/>
          <w:lang w:val="en-GB"/>
        </w:rPr>
        <w:t>third countries.</w:t>
      </w:r>
    </w:p>
    <w:p w14:paraId="56D9105C" w14:textId="77777777" w:rsidR="00281246" w:rsidRPr="00E94510" w:rsidRDefault="00743AC7">
      <w:pPr>
        <w:numPr>
          <w:ilvl w:val="0"/>
          <w:numId w:val="4"/>
        </w:numPr>
        <w:pBdr>
          <w:top w:val="nil"/>
          <w:left w:val="nil"/>
          <w:bottom w:val="nil"/>
          <w:right w:val="nil"/>
          <w:between w:val="nil"/>
        </w:pBdr>
        <w:spacing w:after="220"/>
        <w:ind w:right="0"/>
        <w:rPr>
          <w:b/>
          <w:lang w:val="en-GB"/>
        </w:rPr>
      </w:pPr>
      <w:r w:rsidRPr="00614F62">
        <w:rPr>
          <w:b/>
          <w:highlight w:val="yellow"/>
          <w:lang w:val="en-GB"/>
        </w:rPr>
        <w:t>Step up efforts to establish a comprehensive global register of fishing vessels – including the use of the International Maritime Organization number as a unique vessel identifier</w:t>
      </w:r>
      <w:r w:rsidRPr="00E94510">
        <w:rPr>
          <w:b/>
          <w:highlight w:val="white"/>
          <w:lang w:val="en-GB"/>
        </w:rPr>
        <w:t xml:space="preserve"> – promoted under the auspices of the FAO</w:t>
      </w:r>
      <w:r w:rsidRPr="00E94510">
        <w:rPr>
          <w:b/>
          <w:highlight w:val="white"/>
          <w:vertAlign w:val="superscript"/>
          <w:lang w:val="en-GB"/>
        </w:rPr>
        <w:footnoteReference w:id="37"/>
      </w:r>
      <w:r w:rsidRPr="00E94510">
        <w:rPr>
          <w:b/>
          <w:highlight w:val="white"/>
          <w:lang w:val="en-GB"/>
        </w:rPr>
        <w:t>.</w:t>
      </w:r>
    </w:p>
    <w:p w14:paraId="60556A91" w14:textId="77777777" w:rsidR="00281246" w:rsidRPr="00E94510" w:rsidRDefault="00743AC7">
      <w:pPr>
        <w:numPr>
          <w:ilvl w:val="0"/>
          <w:numId w:val="4"/>
        </w:numPr>
        <w:spacing w:after="220"/>
        <w:rPr>
          <w:b/>
          <w:lang w:val="en-GB"/>
        </w:rPr>
      </w:pPr>
      <w:r w:rsidRPr="00E94510">
        <w:rPr>
          <w:b/>
          <w:lang w:val="en-GB"/>
        </w:rPr>
        <w:t>Take the opportunity of the revision of the Flag State Control</w:t>
      </w:r>
      <w:r w:rsidRPr="00E94510">
        <w:rPr>
          <w:b/>
          <w:vertAlign w:val="superscript"/>
          <w:lang w:val="en-GB"/>
        </w:rPr>
        <w:footnoteReference w:id="38"/>
      </w:r>
      <w:r w:rsidRPr="00E94510">
        <w:rPr>
          <w:b/>
          <w:lang w:val="en-GB"/>
        </w:rPr>
        <w:t xml:space="preserve"> and Port State Control</w:t>
      </w:r>
      <w:r w:rsidRPr="00E94510">
        <w:rPr>
          <w:b/>
          <w:vertAlign w:val="superscript"/>
          <w:lang w:val="en-GB"/>
        </w:rPr>
        <w:footnoteReference w:id="39"/>
      </w:r>
      <w:r w:rsidRPr="00E94510">
        <w:rPr>
          <w:b/>
          <w:lang w:val="en-GB"/>
        </w:rPr>
        <w:t xml:space="preserve"> Directives to take into greater consideration fishing vessels and the issue of flags of convenience in fisheries. Also, adopt and implement the revised EU’s fisheries control system swiftly</w:t>
      </w:r>
      <w:r w:rsidRPr="00E94510">
        <w:rPr>
          <w:b/>
          <w:vertAlign w:val="superscript"/>
          <w:lang w:val="en-GB"/>
        </w:rPr>
        <w:footnoteReference w:id="40"/>
      </w:r>
      <w:r w:rsidRPr="00E94510">
        <w:rPr>
          <w:b/>
          <w:lang w:val="en-GB"/>
        </w:rPr>
        <w:t>.</w:t>
      </w:r>
    </w:p>
    <w:p w14:paraId="47E63203" w14:textId="54DAB706" w:rsidR="00281246" w:rsidRPr="00E94510" w:rsidRDefault="00743AC7">
      <w:pPr>
        <w:numPr>
          <w:ilvl w:val="0"/>
          <w:numId w:val="4"/>
        </w:numPr>
        <w:spacing w:after="220"/>
        <w:rPr>
          <w:b/>
          <w:lang w:val="en-GB"/>
        </w:rPr>
      </w:pPr>
      <w:r w:rsidRPr="00E94510">
        <w:rPr>
          <w:b/>
          <w:lang w:val="en-GB"/>
        </w:rPr>
        <w:t>Ensure consistency of other EU’s policies (</w:t>
      </w:r>
      <w:r w:rsidR="005F185B" w:rsidRPr="00E94510">
        <w:rPr>
          <w:b/>
          <w:lang w:val="en-GB"/>
        </w:rPr>
        <w:t>i.e.,</w:t>
      </w:r>
      <w:r w:rsidRPr="00E94510">
        <w:rPr>
          <w:b/>
          <w:lang w:val="en-GB"/>
        </w:rPr>
        <w:t xml:space="preserve"> trade, development, sustainable fisheries partnership agreements, etc.) with the EU’s policy against IUU fishing and that the fisheries sector will be given adequate attention in the formulation of a future EU-wide supply chain legislation</w:t>
      </w:r>
      <w:r w:rsidRPr="00E94510">
        <w:rPr>
          <w:b/>
          <w:vertAlign w:val="superscript"/>
          <w:lang w:val="en-GB"/>
        </w:rPr>
        <w:footnoteReference w:id="41"/>
      </w:r>
      <w:r w:rsidRPr="00E94510">
        <w:rPr>
          <w:b/>
          <w:lang w:val="en-GB"/>
        </w:rPr>
        <w:t>.</w:t>
      </w:r>
    </w:p>
    <w:p w14:paraId="65198829" w14:textId="6001814D" w:rsidR="00281246" w:rsidRPr="00E94510" w:rsidRDefault="00743AC7">
      <w:pPr>
        <w:rPr>
          <w:lang w:val="en-GB"/>
        </w:rPr>
      </w:pPr>
      <w:r w:rsidRPr="00E94510">
        <w:rPr>
          <w:lang w:val="en-GB"/>
        </w:rPr>
        <w:t>To implement the above, the LDAC would like to make the following recommendations –</w:t>
      </w:r>
      <w:r w:rsidR="00C52FDE">
        <w:rPr>
          <w:lang w:val="en-GB"/>
        </w:rPr>
        <w:t xml:space="preserve"> </w:t>
      </w:r>
      <w:r w:rsidRPr="00E94510">
        <w:rPr>
          <w:lang w:val="en-GB"/>
        </w:rPr>
        <w:t>also relevant to the following section on ‘internal level playing field’</w:t>
      </w:r>
      <w:r w:rsidR="00C52FDE">
        <w:rPr>
          <w:lang w:val="en-GB"/>
        </w:rPr>
        <w:t xml:space="preserve"> </w:t>
      </w:r>
      <w:r w:rsidRPr="00E94510">
        <w:rPr>
          <w:lang w:val="en-GB"/>
        </w:rPr>
        <w:t>– to the European Commission:</w:t>
      </w:r>
    </w:p>
    <w:p w14:paraId="1F897C64" w14:textId="7EF0F21D" w:rsidR="00281246" w:rsidRPr="00E94510" w:rsidRDefault="00743AC7">
      <w:pPr>
        <w:numPr>
          <w:ilvl w:val="0"/>
          <w:numId w:val="13"/>
        </w:numPr>
        <w:spacing w:after="220"/>
        <w:rPr>
          <w:b/>
          <w:lang w:val="en-GB"/>
        </w:rPr>
      </w:pPr>
      <w:r w:rsidRPr="00E94510">
        <w:rPr>
          <w:b/>
          <w:lang w:val="en-GB"/>
        </w:rPr>
        <w:t xml:space="preserve">Ensure the adequacy of human resources dedicated to the formulation and implementation of the EU’s policy against IUU fishing </w:t>
      </w:r>
      <w:r w:rsidR="00E10E07">
        <w:rPr>
          <w:b/>
          <w:lang w:val="en-GB"/>
        </w:rPr>
        <w:t>in the Directorate-General for Maritime Affairs</w:t>
      </w:r>
      <w:r w:rsidR="000F30B9">
        <w:rPr>
          <w:b/>
          <w:lang w:val="en-GB"/>
        </w:rPr>
        <w:t xml:space="preserve"> </w:t>
      </w:r>
      <w:r w:rsidR="00E10E07">
        <w:rPr>
          <w:b/>
          <w:lang w:val="en-GB"/>
        </w:rPr>
        <w:t xml:space="preserve">and Fisheries </w:t>
      </w:r>
      <w:r w:rsidR="00B04EF4">
        <w:rPr>
          <w:b/>
          <w:lang w:val="en-GB"/>
        </w:rPr>
        <w:t xml:space="preserve">(DG MARE) and EFCA </w:t>
      </w:r>
      <w:r w:rsidRPr="00E94510">
        <w:rPr>
          <w:b/>
          <w:lang w:val="en-GB"/>
        </w:rPr>
        <w:t>with its ambitions.</w:t>
      </w:r>
    </w:p>
    <w:p w14:paraId="7875C697" w14:textId="3AA94F3F" w:rsidR="00281246" w:rsidRPr="00E94510" w:rsidRDefault="00743AC7">
      <w:pPr>
        <w:numPr>
          <w:ilvl w:val="0"/>
          <w:numId w:val="13"/>
        </w:numPr>
        <w:spacing w:after="220"/>
        <w:rPr>
          <w:b/>
          <w:lang w:val="en-GB"/>
        </w:rPr>
      </w:pPr>
      <w:r w:rsidRPr="00614F62">
        <w:rPr>
          <w:b/>
          <w:highlight w:val="yellow"/>
          <w:lang w:val="en-GB"/>
        </w:rPr>
        <w:t xml:space="preserve">Deploy extra-efforts to </w:t>
      </w:r>
      <w:r w:rsidR="00C52FDE" w:rsidRPr="00614F62">
        <w:rPr>
          <w:b/>
          <w:highlight w:val="yellow"/>
          <w:lang w:val="en-GB"/>
        </w:rPr>
        <w:t>“</w:t>
      </w:r>
      <w:r w:rsidRPr="00614F62">
        <w:rPr>
          <w:b/>
          <w:highlight w:val="yellow"/>
          <w:lang w:val="en-GB"/>
        </w:rPr>
        <w:t>close</w:t>
      </w:r>
      <w:r w:rsidR="00C52FDE" w:rsidRPr="00614F62">
        <w:rPr>
          <w:b/>
          <w:highlight w:val="yellow"/>
          <w:lang w:val="en-GB"/>
        </w:rPr>
        <w:t>”</w:t>
      </w:r>
      <w:r w:rsidRPr="00614F62">
        <w:rPr>
          <w:b/>
          <w:highlight w:val="yellow"/>
          <w:lang w:val="en-GB"/>
        </w:rPr>
        <w:t xml:space="preserve"> longstanding formal dialogues under ‘yellow card’ either by issuing ‘green’ or ‘red cards’ should the agreed action plans be completed or not</w:t>
      </w:r>
      <w:r w:rsidRPr="00E94510">
        <w:rPr>
          <w:b/>
          <w:lang w:val="en-GB"/>
        </w:rPr>
        <w:t xml:space="preserve">. </w:t>
      </w:r>
    </w:p>
    <w:p w14:paraId="59508CE2" w14:textId="77777777" w:rsidR="00281246" w:rsidRPr="00E94510" w:rsidRDefault="00743AC7">
      <w:pPr>
        <w:numPr>
          <w:ilvl w:val="0"/>
          <w:numId w:val="13"/>
        </w:numPr>
        <w:spacing w:after="220"/>
        <w:rPr>
          <w:b/>
          <w:lang w:val="en-GB"/>
        </w:rPr>
      </w:pPr>
      <w:r w:rsidRPr="00E94510">
        <w:rPr>
          <w:b/>
          <w:lang w:val="en-GB"/>
        </w:rPr>
        <w:lastRenderedPageBreak/>
        <w:t xml:space="preserve">When issuing a ‘green card’, publicise more information about the reasons which motivated the decision and the assurances it has that the measures taken are capable of achieving a lasting improvement of the situation. </w:t>
      </w:r>
    </w:p>
    <w:p w14:paraId="5EEADBAE" w14:textId="77777777" w:rsidR="001E7EE9" w:rsidRDefault="001E7EE9">
      <w:pPr>
        <w:rPr>
          <w:u w:val="single"/>
          <w:lang w:val="en-GB"/>
        </w:rPr>
      </w:pPr>
    </w:p>
    <w:p w14:paraId="0239A807" w14:textId="6289E389" w:rsidR="00281246" w:rsidRPr="00E94510" w:rsidRDefault="00743AC7">
      <w:pPr>
        <w:rPr>
          <w:lang w:val="en-GB"/>
        </w:rPr>
      </w:pPr>
      <w:r w:rsidRPr="00E94510">
        <w:rPr>
          <w:u w:val="single"/>
          <w:lang w:val="en-GB"/>
        </w:rPr>
        <w:t>1.2.2. Internal level playing field</w:t>
      </w:r>
      <w:r w:rsidRPr="00E94510">
        <w:rPr>
          <w:lang w:val="en-GB"/>
        </w:rPr>
        <w:t>:</w:t>
      </w:r>
    </w:p>
    <w:p w14:paraId="78EFB38F" w14:textId="77777777" w:rsidR="00281246" w:rsidRPr="00E94510" w:rsidRDefault="00743AC7">
      <w:pPr>
        <w:rPr>
          <w:lang w:val="en-GB"/>
        </w:rPr>
      </w:pPr>
      <w:r w:rsidRPr="00E94510">
        <w:rPr>
          <w:lang w:val="en-GB"/>
        </w:rPr>
        <w:t xml:space="preserve">Several factors negatively affect the ability of achieving an internal level playing field in the fight against IUU fishing. Achieving an internal level playing field, through fostering and securing </w:t>
      </w:r>
      <w:r w:rsidRPr="00614F62">
        <w:rPr>
          <w:highlight w:val="yellow"/>
          <w:lang w:val="en-GB"/>
        </w:rPr>
        <w:t>harmonised implementation of the EU IUU Regulation in all Member states</w:t>
      </w:r>
      <w:r w:rsidRPr="00E94510">
        <w:rPr>
          <w:lang w:val="en-GB"/>
        </w:rPr>
        <w:t>, is key to the success of EU’s policy against IUU fishing and preserving its credibility. Are of particular interest to the LDAC, the level of harmonisation of import controls amongst Member states</w:t>
      </w:r>
      <w:r w:rsidRPr="00E94510">
        <w:rPr>
          <w:vertAlign w:val="superscript"/>
          <w:lang w:val="en-GB"/>
        </w:rPr>
        <w:footnoteReference w:id="42"/>
      </w:r>
      <w:r w:rsidRPr="00E94510">
        <w:rPr>
          <w:lang w:val="en-GB"/>
        </w:rPr>
        <w:t xml:space="preserve"> and the adequacy and consistency of their enforcement schemes and sanctioning systems</w:t>
      </w:r>
      <w:r w:rsidRPr="00E94510">
        <w:rPr>
          <w:vertAlign w:val="superscript"/>
          <w:lang w:val="en-GB"/>
        </w:rPr>
        <w:footnoteReference w:id="43"/>
      </w:r>
      <w:r w:rsidRPr="00E94510">
        <w:rPr>
          <w:vertAlign w:val="superscript"/>
          <w:lang w:val="en-GB"/>
        </w:rPr>
        <w:t>,</w:t>
      </w:r>
      <w:r w:rsidRPr="00E94510">
        <w:rPr>
          <w:vertAlign w:val="superscript"/>
          <w:lang w:val="en-GB"/>
        </w:rPr>
        <w:footnoteReference w:id="44"/>
      </w:r>
      <w:r w:rsidRPr="00E94510">
        <w:rPr>
          <w:vertAlign w:val="superscript"/>
          <w:lang w:val="en-GB"/>
        </w:rPr>
        <w:t>,</w:t>
      </w:r>
      <w:r w:rsidRPr="00E94510">
        <w:rPr>
          <w:vertAlign w:val="superscript"/>
          <w:lang w:val="en-GB"/>
        </w:rPr>
        <w:footnoteReference w:id="45"/>
      </w:r>
      <w:r w:rsidRPr="00E94510">
        <w:rPr>
          <w:lang w:val="en-GB"/>
        </w:rPr>
        <w:t>.</w:t>
      </w:r>
    </w:p>
    <w:p w14:paraId="0FCEC0E1" w14:textId="77777777" w:rsidR="001E7EE9" w:rsidRDefault="001E7EE9">
      <w:pPr>
        <w:rPr>
          <w:b/>
          <w:color w:val="222222"/>
          <w:highlight w:val="white"/>
          <w:lang w:val="en-GB"/>
        </w:rPr>
      </w:pPr>
    </w:p>
    <w:p w14:paraId="1EC87CCD" w14:textId="72FA850A" w:rsidR="00281246" w:rsidRPr="00E94510" w:rsidRDefault="00743AC7">
      <w:pPr>
        <w:rPr>
          <w:color w:val="222222"/>
          <w:highlight w:val="white"/>
          <w:lang w:val="en-GB"/>
        </w:rPr>
      </w:pPr>
      <w:r w:rsidRPr="00E94510">
        <w:rPr>
          <w:b/>
          <w:color w:val="222222"/>
          <w:highlight w:val="white"/>
          <w:lang w:val="en-GB"/>
        </w:rPr>
        <w:t>Recommendations</w:t>
      </w:r>
      <w:r w:rsidRPr="00E94510">
        <w:rPr>
          <w:color w:val="222222"/>
          <w:highlight w:val="white"/>
          <w:lang w:val="en-GB"/>
        </w:rPr>
        <w:t>:</w:t>
      </w:r>
    </w:p>
    <w:p w14:paraId="0C6874A8" w14:textId="77777777" w:rsidR="00281246" w:rsidRPr="00E94510" w:rsidRDefault="00743AC7">
      <w:pPr>
        <w:rPr>
          <w:lang w:val="en-GB"/>
        </w:rPr>
      </w:pPr>
      <w:r w:rsidRPr="00E94510">
        <w:rPr>
          <w:lang w:val="en-GB"/>
        </w:rPr>
        <w:t>In view of the above, the LDAC would like to make the following recommendations to the European Commission, to:</w:t>
      </w:r>
    </w:p>
    <w:p w14:paraId="1E4FFCA4" w14:textId="77777777" w:rsidR="00281246" w:rsidRPr="00E94510" w:rsidRDefault="00743AC7">
      <w:pPr>
        <w:numPr>
          <w:ilvl w:val="0"/>
          <w:numId w:val="6"/>
        </w:numPr>
        <w:spacing w:after="220"/>
        <w:rPr>
          <w:b/>
          <w:lang w:val="en-GB"/>
        </w:rPr>
      </w:pPr>
      <w:r w:rsidRPr="00E94510">
        <w:rPr>
          <w:b/>
          <w:lang w:val="en-GB"/>
        </w:rPr>
        <w:t>Continue fostering harmonised implementation, in all Member States, of the EU IUU Regulation; particularly vis-à-vis its chapters II (inspections of third country fishing vessels in Member States ports), III (catch certification scheme for importation and exportation of fishery products), VIII (nationals) and IX (immediate enforcement measures, sanctions and accompanying sanctions)</w:t>
      </w:r>
      <w:r w:rsidRPr="00E94510">
        <w:rPr>
          <w:b/>
          <w:vertAlign w:val="superscript"/>
          <w:lang w:val="en-GB"/>
        </w:rPr>
        <w:footnoteReference w:id="46"/>
      </w:r>
      <w:r w:rsidRPr="00E94510">
        <w:rPr>
          <w:b/>
          <w:lang w:val="en-GB"/>
        </w:rPr>
        <w:t>.</w:t>
      </w:r>
    </w:p>
    <w:p w14:paraId="7D9BEE79" w14:textId="2D0E23D6" w:rsidR="00281246" w:rsidRPr="00E94510" w:rsidRDefault="00743AC7">
      <w:pPr>
        <w:numPr>
          <w:ilvl w:val="0"/>
          <w:numId w:val="6"/>
        </w:numPr>
        <w:spacing w:after="220"/>
        <w:rPr>
          <w:b/>
          <w:lang w:val="en-GB"/>
        </w:rPr>
      </w:pPr>
      <w:r w:rsidRPr="00E94510">
        <w:rPr>
          <w:b/>
          <w:lang w:val="en-GB"/>
        </w:rPr>
        <w:t xml:space="preserve">Carry out, when the health situation allows or through other means, audit missions to Member States to assess their implementation of the EU IUU Regulation, particularly in those </w:t>
      </w:r>
      <w:r w:rsidRPr="00E94510">
        <w:rPr>
          <w:b/>
          <w:highlight w:val="white"/>
          <w:lang w:val="en-GB"/>
        </w:rPr>
        <w:t xml:space="preserve">where there are reasons to believe they are in default of their obligations to apply the EU IUU Regulation. The LDAC </w:t>
      </w:r>
      <w:r w:rsidRPr="00E94510">
        <w:rPr>
          <w:b/>
          <w:lang w:val="en-GB"/>
        </w:rPr>
        <w:t xml:space="preserve">encourages the European Commission to consider making executive summaries of finalised </w:t>
      </w:r>
      <w:r w:rsidR="00C52FDE">
        <w:rPr>
          <w:b/>
          <w:lang w:val="en-GB"/>
        </w:rPr>
        <w:t>a</w:t>
      </w:r>
      <w:r w:rsidRPr="00E94510">
        <w:rPr>
          <w:b/>
          <w:lang w:val="en-GB"/>
        </w:rPr>
        <w:t>udits public, while respecting EU privacy laws, in line with other EU policy areas (as it is currently standard practice in other areas (</w:t>
      </w:r>
      <w:r w:rsidR="005F185B" w:rsidRPr="00E94510">
        <w:rPr>
          <w:b/>
          <w:lang w:val="en-GB"/>
        </w:rPr>
        <w:t>e.g.,</w:t>
      </w:r>
      <w:r w:rsidRPr="00E94510">
        <w:rPr>
          <w:b/>
          <w:lang w:val="en-GB"/>
        </w:rPr>
        <w:t xml:space="preserve"> sanitary)) – as well as Member States’ biennial reports on the Commission’s website</w:t>
      </w:r>
      <w:r w:rsidRPr="00E94510">
        <w:rPr>
          <w:b/>
          <w:vertAlign w:val="superscript"/>
          <w:lang w:val="en-GB"/>
        </w:rPr>
        <w:footnoteReference w:id="47"/>
      </w:r>
      <w:r w:rsidRPr="00E94510">
        <w:rPr>
          <w:b/>
          <w:lang w:val="en-GB"/>
        </w:rPr>
        <w:t xml:space="preserve">; and, should the EU IUU Regulation not being properly implemented, take appropriate remedy action. </w:t>
      </w:r>
    </w:p>
    <w:p w14:paraId="6218A26C" w14:textId="2C2F2FE8" w:rsidR="00281246" w:rsidRPr="00614F62" w:rsidRDefault="00743AC7">
      <w:pPr>
        <w:numPr>
          <w:ilvl w:val="0"/>
          <w:numId w:val="6"/>
        </w:numPr>
        <w:spacing w:after="220"/>
        <w:rPr>
          <w:b/>
          <w:highlight w:val="yellow"/>
          <w:lang w:val="en-GB"/>
        </w:rPr>
      </w:pPr>
      <w:r w:rsidRPr="00E94510">
        <w:rPr>
          <w:b/>
          <w:lang w:val="en-GB"/>
        </w:rPr>
        <w:t xml:space="preserve">Furthermore, </w:t>
      </w:r>
      <w:r w:rsidRPr="00614F62">
        <w:rPr>
          <w:b/>
          <w:highlight w:val="yellow"/>
          <w:lang w:val="en-GB"/>
        </w:rPr>
        <w:t>Member States should notify the European Commission of definitive rulings in the event of serious infringements detected in Union waters or in Union ports in relation to fishing vessels flying the flag of third countries.</w:t>
      </w:r>
    </w:p>
    <w:p w14:paraId="661BFCD9" w14:textId="77777777" w:rsidR="00281246" w:rsidRPr="00E94510" w:rsidRDefault="00743AC7">
      <w:pPr>
        <w:numPr>
          <w:ilvl w:val="0"/>
          <w:numId w:val="6"/>
        </w:numPr>
        <w:spacing w:after="220"/>
        <w:rPr>
          <w:b/>
          <w:lang w:val="en-GB"/>
        </w:rPr>
      </w:pPr>
      <w:r w:rsidRPr="00E94510">
        <w:rPr>
          <w:b/>
          <w:lang w:val="en-GB"/>
        </w:rPr>
        <w:lastRenderedPageBreak/>
        <w:t>Promote the use of the IT system ‘CATCH’</w:t>
      </w:r>
      <w:r w:rsidRPr="00E94510">
        <w:rPr>
          <w:b/>
          <w:vertAlign w:val="superscript"/>
          <w:lang w:val="en-GB"/>
        </w:rPr>
        <w:footnoteReference w:id="48"/>
      </w:r>
      <w:r w:rsidRPr="00E94510">
        <w:rPr>
          <w:b/>
          <w:lang w:val="en-GB"/>
        </w:rPr>
        <w:t>, which should become mandatory for Member States once the Commission's proposal for the revision of Council Regulation (EC) No 1224/2009</w:t>
      </w:r>
      <w:r w:rsidRPr="00E94510">
        <w:rPr>
          <w:b/>
          <w:vertAlign w:val="superscript"/>
          <w:lang w:val="en-GB"/>
        </w:rPr>
        <w:footnoteReference w:id="49"/>
      </w:r>
      <w:r w:rsidRPr="00E94510">
        <w:rPr>
          <w:b/>
          <w:lang w:val="en-GB"/>
        </w:rPr>
        <w:t xml:space="preserve"> has been adopted by the co-legislators, amongst Member States, and actively encourages its use by third countries. </w:t>
      </w:r>
    </w:p>
    <w:p w14:paraId="5ABFF516" w14:textId="7FE2BD42" w:rsidR="00281246" w:rsidRPr="00E94510" w:rsidRDefault="00743AC7">
      <w:pPr>
        <w:numPr>
          <w:ilvl w:val="0"/>
          <w:numId w:val="6"/>
        </w:numPr>
        <w:spacing w:after="220"/>
        <w:rPr>
          <w:b/>
          <w:lang w:val="en-GB"/>
        </w:rPr>
      </w:pPr>
      <w:r w:rsidRPr="00E94510">
        <w:rPr>
          <w:b/>
          <w:lang w:val="en-GB"/>
        </w:rPr>
        <w:t xml:space="preserve">Encourage the swift inclusion of more comprehensive risk criteria and seamless data cross-checks during the next iterations of ‘CATCH’. Ensure the CATCH’s risk assessment is at the level of or supersedes that of Member States which already have an electronic system to control catch certificates </w:t>
      </w:r>
      <w:r w:rsidR="00C52FDE">
        <w:rPr>
          <w:b/>
          <w:lang w:val="en-GB"/>
        </w:rPr>
        <w:t>–</w:t>
      </w:r>
      <w:r w:rsidRPr="00E94510">
        <w:rPr>
          <w:b/>
          <w:lang w:val="en-GB"/>
        </w:rPr>
        <w:t xml:space="preserve"> otherwise, in the interim, ensure there is interoperability between CATCH and national IT systems without increasing burden on economic operators.</w:t>
      </w:r>
    </w:p>
    <w:p w14:paraId="112A282F" w14:textId="1DFF6E30" w:rsidR="00281246" w:rsidRPr="00E94510" w:rsidRDefault="00743AC7">
      <w:pPr>
        <w:numPr>
          <w:ilvl w:val="0"/>
          <w:numId w:val="6"/>
        </w:numPr>
        <w:spacing w:after="220"/>
        <w:rPr>
          <w:b/>
          <w:lang w:val="en-GB"/>
        </w:rPr>
      </w:pPr>
      <w:r w:rsidRPr="00E94510">
        <w:rPr>
          <w:b/>
          <w:lang w:val="en-GB"/>
        </w:rPr>
        <w:t>Ensure, building on Article 31 of Commission Regulation (EC) No 1010/2009</w:t>
      </w:r>
      <w:r w:rsidRPr="00E94510">
        <w:rPr>
          <w:b/>
          <w:vertAlign w:val="superscript"/>
          <w:lang w:val="en-GB"/>
        </w:rPr>
        <w:footnoteReference w:id="50"/>
      </w:r>
      <w:r w:rsidRPr="00E94510">
        <w:rPr>
          <w:b/>
          <w:lang w:val="en-GB"/>
        </w:rPr>
        <w:t>, application of a harmonised risk management approach for the verification of catch certificates, continuing, to that end, to collaborate with EFCA and taking into account best practices currently implemented in the EU.</w:t>
      </w:r>
    </w:p>
    <w:p w14:paraId="195448BA" w14:textId="77777777" w:rsidR="00281246" w:rsidRPr="00E94510" w:rsidRDefault="00743AC7">
      <w:pPr>
        <w:numPr>
          <w:ilvl w:val="0"/>
          <w:numId w:val="6"/>
        </w:numPr>
        <w:spacing w:after="220"/>
        <w:rPr>
          <w:b/>
          <w:lang w:val="en-GB"/>
        </w:rPr>
      </w:pPr>
      <w:r w:rsidRPr="00614F62">
        <w:rPr>
          <w:b/>
          <w:highlight w:val="yellow"/>
          <w:lang w:val="en-GB"/>
        </w:rPr>
        <w:t>Ensure sanctions for IUU fishing activities imposed by Member States are effective, proportionate and dissuasive; and strive towards more uniform enforcement schemes and sanctioning systems</w:t>
      </w:r>
      <w:r w:rsidRPr="00E94510">
        <w:rPr>
          <w:b/>
          <w:lang w:val="en-GB"/>
        </w:rPr>
        <w:t>.</w:t>
      </w:r>
    </w:p>
    <w:p w14:paraId="5176BD25" w14:textId="77777777" w:rsidR="00281246" w:rsidRPr="00E94510" w:rsidRDefault="00743AC7">
      <w:pPr>
        <w:numPr>
          <w:ilvl w:val="0"/>
          <w:numId w:val="6"/>
        </w:numPr>
        <w:spacing w:after="220"/>
        <w:rPr>
          <w:b/>
          <w:lang w:val="en-GB"/>
        </w:rPr>
      </w:pPr>
      <w:r w:rsidRPr="00E94510">
        <w:rPr>
          <w:b/>
          <w:lang w:val="en-GB"/>
        </w:rPr>
        <w:t>Continue making full use of the mutual assistance system established under Article 51 of the EU IUU Regulation ensuring active participation by Member States and their compliance with the obligations resulting from its implementation.</w:t>
      </w:r>
    </w:p>
    <w:p w14:paraId="53430969" w14:textId="05956975" w:rsidR="00281246" w:rsidRPr="005672DE" w:rsidRDefault="00743AC7">
      <w:pPr>
        <w:numPr>
          <w:ilvl w:val="0"/>
          <w:numId w:val="6"/>
        </w:numPr>
        <w:spacing w:after="220"/>
        <w:rPr>
          <w:lang w:val="en-GB"/>
        </w:rPr>
      </w:pPr>
      <w:r w:rsidRPr="005672DE">
        <w:rPr>
          <w:b/>
          <w:lang w:val="en-GB"/>
        </w:rPr>
        <w:t>Make active attempts to better monitor intra-EU trade flows of seafood products –</w:t>
      </w:r>
      <w:r w:rsidR="00C52FDE">
        <w:rPr>
          <w:b/>
          <w:lang w:val="en-GB"/>
        </w:rPr>
        <w:t xml:space="preserve"> </w:t>
      </w:r>
      <w:r w:rsidRPr="005672DE">
        <w:rPr>
          <w:b/>
          <w:lang w:val="en-GB"/>
        </w:rPr>
        <w:t>and their fluctuations</w:t>
      </w:r>
      <w:r w:rsidR="00C52FDE">
        <w:rPr>
          <w:b/>
          <w:lang w:val="en-GB"/>
        </w:rPr>
        <w:t xml:space="preserve"> </w:t>
      </w:r>
      <w:r w:rsidRPr="005672DE">
        <w:rPr>
          <w:b/>
          <w:lang w:val="en-GB"/>
        </w:rPr>
        <w:t>–, especially if these are found to relate to at-risk situations about which</w:t>
      </w:r>
      <w:r w:rsidR="00F32423" w:rsidRPr="005672DE">
        <w:rPr>
          <w:b/>
          <w:lang w:val="en-GB"/>
        </w:rPr>
        <w:t xml:space="preserve"> catch certification</w:t>
      </w:r>
      <w:r w:rsidRPr="005672DE">
        <w:rPr>
          <w:b/>
          <w:lang w:val="en-GB"/>
        </w:rPr>
        <w:t xml:space="preserve"> information has been circulated </w:t>
      </w:r>
      <w:r w:rsidR="00F32423" w:rsidRPr="005672DE">
        <w:rPr>
          <w:b/>
          <w:lang w:val="en-GB"/>
        </w:rPr>
        <w:t xml:space="preserve">between Member States </w:t>
      </w:r>
      <w:r w:rsidRPr="005672DE">
        <w:rPr>
          <w:b/>
          <w:lang w:val="en-GB"/>
        </w:rPr>
        <w:t xml:space="preserve">through the mutual assistance system or are linked to countries under formal </w:t>
      </w:r>
      <w:r w:rsidR="00F32423" w:rsidRPr="005672DE">
        <w:rPr>
          <w:b/>
          <w:lang w:val="en-GB"/>
        </w:rPr>
        <w:t xml:space="preserve">IUU </w:t>
      </w:r>
      <w:r w:rsidRPr="005672DE">
        <w:rPr>
          <w:b/>
          <w:lang w:val="en-GB"/>
        </w:rPr>
        <w:t>dialogue.</w:t>
      </w:r>
    </w:p>
    <w:p w14:paraId="4DCCDA3C" w14:textId="00C75335" w:rsidR="00281246" w:rsidRDefault="00743AC7">
      <w:pPr>
        <w:numPr>
          <w:ilvl w:val="0"/>
          <w:numId w:val="6"/>
        </w:numPr>
        <w:spacing w:after="220"/>
        <w:rPr>
          <w:b/>
          <w:lang w:val="en-GB"/>
        </w:rPr>
      </w:pPr>
      <w:r w:rsidRPr="00E94510">
        <w:rPr>
          <w:b/>
          <w:lang w:val="en-GB"/>
        </w:rPr>
        <w:t>Provide, together with EFCA and in close coordination with Member States, further support to their authorities on how best to implement the EU IUU Regulation through guidance, exchange of good practices, training, etc.</w:t>
      </w:r>
    </w:p>
    <w:p w14:paraId="79CFC0F0" w14:textId="77777777" w:rsidR="001F7172" w:rsidRPr="00E94510" w:rsidRDefault="001F7172" w:rsidP="001F7172">
      <w:pPr>
        <w:spacing w:after="220"/>
        <w:ind w:left="720"/>
        <w:rPr>
          <w:b/>
          <w:lang w:val="en-GB"/>
        </w:rPr>
      </w:pPr>
    </w:p>
    <w:p w14:paraId="21400714" w14:textId="77777777" w:rsidR="001F7172" w:rsidRDefault="001F7172">
      <w:pPr>
        <w:rPr>
          <w:b/>
          <w:lang w:val="en-GB"/>
        </w:rPr>
      </w:pPr>
      <w:r>
        <w:rPr>
          <w:b/>
          <w:lang w:val="en-GB"/>
        </w:rPr>
        <w:br w:type="page"/>
      </w:r>
    </w:p>
    <w:p w14:paraId="46DD0883" w14:textId="0BE31241" w:rsidR="00281246" w:rsidRPr="00E94510" w:rsidRDefault="00743AC7">
      <w:pPr>
        <w:widowControl w:val="0"/>
        <w:rPr>
          <w:lang w:val="en-GB"/>
        </w:rPr>
      </w:pPr>
      <w:r w:rsidRPr="00E94510">
        <w:rPr>
          <w:b/>
          <w:lang w:val="en-GB"/>
        </w:rPr>
        <w:lastRenderedPageBreak/>
        <w:t xml:space="preserve"> 1.3 - EU Regulation on Sustainable Management of the External Fishing Fleets (SMEFF)</w:t>
      </w:r>
      <w:r w:rsidRPr="00E94510">
        <w:rPr>
          <w:b/>
          <w:highlight w:val="yellow"/>
          <w:lang w:val="en-GB"/>
        </w:rPr>
        <w:t xml:space="preserve"> </w:t>
      </w:r>
    </w:p>
    <w:p w14:paraId="289C65D4" w14:textId="77777777" w:rsidR="00281246" w:rsidRPr="00E94510" w:rsidRDefault="00743AC7">
      <w:pPr>
        <w:widowControl w:val="0"/>
        <w:rPr>
          <w:lang w:val="en-GB"/>
        </w:rPr>
      </w:pPr>
      <w:r w:rsidRPr="00E94510">
        <w:rPr>
          <w:lang w:val="en-GB"/>
        </w:rPr>
        <w:t>Regulation (EU) 2017/2403 of the European Parliament and of the Council of 12 December 2017 on the sustainable management of external fishing fleets (SMEFF)</w:t>
      </w:r>
      <w:r w:rsidRPr="00E94510">
        <w:rPr>
          <w:vertAlign w:val="superscript"/>
          <w:lang w:val="en-GB"/>
        </w:rPr>
        <w:footnoteReference w:id="51"/>
      </w:r>
      <w:r w:rsidRPr="00E94510">
        <w:rPr>
          <w:lang w:val="en-GB"/>
        </w:rPr>
        <w:t xml:space="preserve"> attempts to facilitate </w:t>
      </w:r>
      <w:r w:rsidRPr="007262F8">
        <w:rPr>
          <w:highlight w:val="yellow"/>
          <w:lang w:val="en-GB"/>
        </w:rPr>
        <w:t>a more effective monitoring of EU flagged vessels operations beyond EU waters regardless of the framework under which they operate</w:t>
      </w:r>
      <w:r w:rsidRPr="00E94510">
        <w:rPr>
          <w:lang w:val="en-GB"/>
        </w:rPr>
        <w:t xml:space="preserve">. The main progress compared to its predecessor, the Fishing Authorisation Regulation (FAR), include: </w:t>
      </w:r>
    </w:p>
    <w:p w14:paraId="12FB407F" w14:textId="77777777" w:rsidR="00281246" w:rsidRPr="00E94510" w:rsidRDefault="00743AC7">
      <w:pPr>
        <w:widowControl w:val="0"/>
        <w:numPr>
          <w:ilvl w:val="0"/>
          <w:numId w:val="18"/>
        </w:numPr>
        <w:rPr>
          <w:lang w:val="en-GB"/>
        </w:rPr>
      </w:pPr>
      <w:r w:rsidRPr="00E94510">
        <w:rPr>
          <w:lang w:val="en-GB"/>
        </w:rPr>
        <w:t xml:space="preserve">The SMEFF establishes common eligibility requirements for all EU flagged vessels, under which a Member State may only issue a fishing authorisation for fishing operations outside EU waters if it has received </w:t>
      </w:r>
      <w:r w:rsidRPr="007262F8">
        <w:rPr>
          <w:highlight w:val="yellow"/>
          <w:lang w:val="en-GB"/>
        </w:rPr>
        <w:t>complete and accurate information about the fishing vessel that shows its operations are in line with sustainable and legal fishing.</w:t>
      </w:r>
      <w:r w:rsidRPr="00E94510">
        <w:rPr>
          <w:lang w:val="en-GB"/>
        </w:rPr>
        <w:t xml:space="preserve"> </w:t>
      </w:r>
    </w:p>
    <w:p w14:paraId="4BE610BE" w14:textId="3DE01012" w:rsidR="00281246" w:rsidRPr="00E94510" w:rsidRDefault="00743AC7">
      <w:pPr>
        <w:widowControl w:val="0"/>
        <w:numPr>
          <w:ilvl w:val="0"/>
          <w:numId w:val="18"/>
        </w:numPr>
        <w:rPr>
          <w:lang w:val="en-GB"/>
        </w:rPr>
      </w:pPr>
      <w:r w:rsidRPr="00E94510">
        <w:rPr>
          <w:lang w:val="en-GB"/>
        </w:rPr>
        <w:t xml:space="preserve">The SMEFF also provides for the European Commission to maintain an </w:t>
      </w:r>
      <w:r w:rsidRPr="007262F8">
        <w:rPr>
          <w:highlight w:val="yellow"/>
          <w:lang w:val="en-GB"/>
        </w:rPr>
        <w:t>electronic fishing authorisation database containing all fishing authorisations granted</w:t>
      </w:r>
      <w:r w:rsidRPr="00E94510">
        <w:rPr>
          <w:lang w:val="en-GB"/>
        </w:rPr>
        <w:t>. Part of this database</w:t>
      </w:r>
      <w:r w:rsidR="00C36595">
        <w:rPr>
          <w:lang w:val="en-GB"/>
        </w:rPr>
        <w:t xml:space="preserve"> </w:t>
      </w:r>
      <w:r w:rsidRPr="00E94510">
        <w:rPr>
          <w:lang w:val="en-GB"/>
        </w:rPr>
        <w:t xml:space="preserve">is publicly accessible, albeit information on the beneficial owners </w:t>
      </w:r>
      <w:r w:rsidR="00C36595" w:rsidRPr="00E94510">
        <w:rPr>
          <w:lang w:val="en-GB"/>
        </w:rPr>
        <w:t>is</w:t>
      </w:r>
      <w:r w:rsidRPr="00E94510">
        <w:rPr>
          <w:lang w:val="en-GB"/>
        </w:rPr>
        <w:t xml:space="preserve"> kept confidential. </w:t>
      </w:r>
    </w:p>
    <w:p w14:paraId="541D233C" w14:textId="77777777" w:rsidR="00281246" w:rsidRPr="00E94510" w:rsidRDefault="00743AC7">
      <w:pPr>
        <w:widowControl w:val="0"/>
        <w:rPr>
          <w:lang w:val="en-GB"/>
        </w:rPr>
      </w:pPr>
      <w:r w:rsidRPr="00E94510">
        <w:rPr>
          <w:lang w:val="en-GB"/>
        </w:rPr>
        <w:t xml:space="preserve">As such, the SMEFF is an instrument that </w:t>
      </w:r>
      <w:r w:rsidRPr="007262F8">
        <w:rPr>
          <w:highlight w:val="yellow"/>
          <w:lang w:val="en-GB"/>
        </w:rPr>
        <w:t>contributes to achieving a level playing field between Member States’ fleets. However, further efforts are still needed to exploit its full potential at achieving an internal level playing field</w:t>
      </w:r>
      <w:r w:rsidRPr="00E94510">
        <w:rPr>
          <w:lang w:val="en-GB"/>
        </w:rPr>
        <w:t xml:space="preserve">. The LDAC is also </w:t>
      </w:r>
      <w:r w:rsidRPr="007262F8">
        <w:rPr>
          <w:highlight w:val="yellow"/>
          <w:lang w:val="en-GB"/>
        </w:rPr>
        <w:t>concerned by the persistent gap between EU standards and those applied by other major distant-water fishing (DWF) nations and, as such, believe that increased efforts should be deployed at driving these nations</w:t>
      </w:r>
      <w:r w:rsidRPr="00E94510">
        <w:rPr>
          <w:lang w:val="en-GB"/>
        </w:rPr>
        <w:t xml:space="preserve"> to apply similar standards.</w:t>
      </w:r>
    </w:p>
    <w:p w14:paraId="5B387DF7" w14:textId="77777777" w:rsidR="001F7172" w:rsidRDefault="001F7172">
      <w:pPr>
        <w:rPr>
          <w:u w:val="single"/>
          <w:lang w:val="en-GB"/>
        </w:rPr>
      </w:pPr>
    </w:p>
    <w:p w14:paraId="7CDDA94F" w14:textId="1CFE1A02" w:rsidR="00281246" w:rsidRPr="00E94510" w:rsidRDefault="00743AC7">
      <w:pPr>
        <w:rPr>
          <w:lang w:val="en-GB"/>
        </w:rPr>
      </w:pPr>
      <w:r w:rsidRPr="00E94510">
        <w:rPr>
          <w:u w:val="single"/>
          <w:lang w:val="en-GB"/>
        </w:rPr>
        <w:t>1.3.1 External level playing field</w:t>
      </w:r>
      <w:r w:rsidRPr="00E94510">
        <w:rPr>
          <w:lang w:val="en-GB"/>
        </w:rPr>
        <w:t>:</w:t>
      </w:r>
    </w:p>
    <w:p w14:paraId="5EB526D8" w14:textId="77777777" w:rsidR="00281246" w:rsidRPr="00E94510" w:rsidRDefault="00743AC7">
      <w:pPr>
        <w:widowControl w:val="0"/>
        <w:rPr>
          <w:lang w:val="en-GB"/>
        </w:rPr>
      </w:pPr>
      <w:r w:rsidRPr="00E94510">
        <w:rPr>
          <w:lang w:val="en-GB"/>
        </w:rPr>
        <w:t>Throughout the decision-making process that led to the adoption of the SMEFF, the LDAC highlighted the importance of ensuring a level playing field between EU and non-EU vessels fishing in EU waters</w:t>
      </w:r>
      <w:r w:rsidRPr="00E94510">
        <w:rPr>
          <w:vertAlign w:val="superscript"/>
          <w:lang w:val="en-GB"/>
        </w:rPr>
        <w:footnoteReference w:id="52"/>
      </w:r>
      <w:r w:rsidRPr="00E94510">
        <w:rPr>
          <w:lang w:val="en-GB"/>
        </w:rPr>
        <w:t>. The co-legislators addressed this concern through Title III of the SMEFF and more particularly Article 32 which provides that third-country fishing vessels shall only be issued with authorisations to fish within EU waters if they fulfil the same eligibility criteria set out for fishing operations by EU vessels.</w:t>
      </w:r>
    </w:p>
    <w:p w14:paraId="66A02314" w14:textId="77777777" w:rsidR="00281246" w:rsidRPr="00E94510" w:rsidRDefault="00743AC7">
      <w:pPr>
        <w:widowControl w:val="0"/>
        <w:rPr>
          <w:lang w:val="en-GB"/>
        </w:rPr>
      </w:pPr>
      <w:r w:rsidRPr="00E94510">
        <w:rPr>
          <w:lang w:val="en-GB"/>
        </w:rPr>
        <w:t xml:space="preserve">Outside Union waters a level playing field between EU and non-EU external fishing operations is still to be achieved. The LDAC is of the view that </w:t>
      </w:r>
      <w:r w:rsidRPr="007262F8">
        <w:rPr>
          <w:highlight w:val="yellow"/>
          <w:lang w:val="en-GB"/>
        </w:rPr>
        <w:t>other DWF fleets are yet to be submitted to equivalent standards by their flag states aiming at ensuring their sustainable management, particularly from the sustainability and transparency perspectives</w:t>
      </w:r>
      <w:r w:rsidRPr="00E94510">
        <w:rPr>
          <w:lang w:val="en-GB"/>
        </w:rPr>
        <w:t>. This situation particularly concerns areas and species not covered by any RFMO and also concerns fishing grounds covered by SFPAs, sometimes in spite of the clauses embedded in these international agreements (cf. Section 1.4).</w:t>
      </w:r>
    </w:p>
    <w:p w14:paraId="286EA4B6" w14:textId="2C4CB571" w:rsidR="00281246" w:rsidRDefault="00743AC7">
      <w:pPr>
        <w:widowControl w:val="0"/>
        <w:rPr>
          <w:lang w:val="en-GB"/>
        </w:rPr>
      </w:pPr>
      <w:r w:rsidRPr="00E94510">
        <w:rPr>
          <w:lang w:val="en-GB"/>
        </w:rPr>
        <w:t>The EU is currently one of the few flag states making public its fishing authorisations. The coastal state perspective is no different with, to date, only a limited number of countries having made public basic information about their fishing authorisations (for example Guinea and Liberia). This is despite the fact that some RFMOs (including ICCAT and GFCM) require their contracting parties to report on an annual basis on which coastal waters their flagged vessels fish (for flag states) or who fishes in their waters (for coastal states).</w:t>
      </w:r>
    </w:p>
    <w:p w14:paraId="0F9EF491" w14:textId="77777777" w:rsidR="001F7172" w:rsidRDefault="001F7172">
      <w:pPr>
        <w:widowControl w:val="0"/>
        <w:rPr>
          <w:lang w:val="en-GB"/>
        </w:rPr>
      </w:pPr>
    </w:p>
    <w:p w14:paraId="15D96986" w14:textId="5142ED85" w:rsidR="003F7BB1" w:rsidRDefault="003F7BB1">
      <w:pPr>
        <w:widowControl w:val="0"/>
        <w:rPr>
          <w:lang w:val="en-GB"/>
        </w:rPr>
      </w:pPr>
      <w:r>
        <w:rPr>
          <w:lang w:val="en-GB"/>
        </w:rPr>
        <w:t xml:space="preserve">It needs also to be noted that some </w:t>
      </w:r>
      <w:r w:rsidRPr="007262F8">
        <w:rPr>
          <w:highlight w:val="yellow"/>
          <w:lang w:val="en-GB"/>
        </w:rPr>
        <w:t>national companies from third countries that have weak fisheries governance, including being IUU carded by the EU (like Cameroun), are the front for vessels whose beneficial owners are European nationals.</w:t>
      </w:r>
      <w:r>
        <w:rPr>
          <w:lang w:val="en-GB"/>
        </w:rPr>
        <w:t xml:space="preserve"> Some of these vessels fish in the same area than EU vessels, on the same resource, but without the same scrutiny. </w:t>
      </w:r>
      <w:r w:rsidR="00B6258B">
        <w:rPr>
          <w:lang w:val="en-GB"/>
        </w:rPr>
        <w:t xml:space="preserve">Unlike </w:t>
      </w:r>
      <w:r>
        <w:rPr>
          <w:lang w:val="en-GB"/>
        </w:rPr>
        <w:t>the SMEFF</w:t>
      </w:r>
      <w:r w:rsidR="00B6258B">
        <w:rPr>
          <w:lang w:val="en-GB"/>
        </w:rPr>
        <w:t>, that</w:t>
      </w:r>
      <w:r>
        <w:rPr>
          <w:lang w:val="en-GB"/>
        </w:rPr>
        <w:t xml:space="preserve"> provides for collection of data on beneficial owners (and their public disclosure under specific circumstances), </w:t>
      </w:r>
      <w:r w:rsidR="00B6258B">
        <w:rPr>
          <w:lang w:val="en-GB"/>
        </w:rPr>
        <w:t>the third countries hosting these European owned vessels do not record, neither publish, information on beneficial owners.</w:t>
      </w:r>
    </w:p>
    <w:p w14:paraId="02A700C9" w14:textId="7FC1339B" w:rsidR="00B20574" w:rsidRDefault="00766584" w:rsidP="00B20574">
      <w:pPr>
        <w:widowControl w:val="0"/>
        <w:rPr>
          <w:lang w:val="en-GB"/>
        </w:rPr>
      </w:pPr>
      <w:r>
        <w:rPr>
          <w:lang w:val="en-GB"/>
        </w:rPr>
        <w:t>T</w:t>
      </w:r>
      <w:r w:rsidRPr="00476E06">
        <w:rPr>
          <w:lang w:val="en-GB"/>
        </w:rPr>
        <w:t xml:space="preserve">he EU </w:t>
      </w:r>
      <w:r w:rsidR="00270FE9">
        <w:rPr>
          <w:lang w:val="en-GB"/>
        </w:rPr>
        <w:t>should</w:t>
      </w:r>
      <w:r w:rsidRPr="00476E06">
        <w:rPr>
          <w:lang w:val="en-GB"/>
        </w:rPr>
        <w:t xml:space="preserve"> promote a dialogue with African countries that fosters </w:t>
      </w:r>
      <w:r w:rsidRPr="007262F8">
        <w:rPr>
          <w:highlight w:val="yellow"/>
          <w:lang w:val="en-GB"/>
        </w:rPr>
        <w:t>the development of a regulatory framework for joint venture with respect to catch (applicable to all vessels of foreign origin), processing and marketing that guarantees that joint ventures operate transparently, do not compete with artisanal fishing and contribute to the development objectives of the country in question</w:t>
      </w:r>
      <w:r w:rsidRPr="007262F8">
        <w:rPr>
          <w:rStyle w:val="FootnoteReference"/>
          <w:highlight w:val="yellow"/>
          <w:lang w:val="en-GB"/>
        </w:rPr>
        <w:footnoteReference w:id="53"/>
      </w:r>
      <w:r w:rsidRPr="007262F8">
        <w:rPr>
          <w:highlight w:val="yellow"/>
          <w:lang w:val="en-GB"/>
        </w:rPr>
        <w:t>.</w:t>
      </w:r>
    </w:p>
    <w:p w14:paraId="70250147" w14:textId="77777777" w:rsidR="00EA1A75" w:rsidRDefault="00EA1A75" w:rsidP="00B20574">
      <w:pPr>
        <w:widowControl w:val="0"/>
        <w:rPr>
          <w:b/>
          <w:color w:val="222222"/>
          <w:lang w:val="en-GB"/>
        </w:rPr>
      </w:pPr>
    </w:p>
    <w:p w14:paraId="37B1A9EB" w14:textId="06AB2E89" w:rsidR="00281246" w:rsidRPr="00E94510" w:rsidRDefault="00743AC7" w:rsidP="00B20574">
      <w:pPr>
        <w:widowControl w:val="0"/>
        <w:rPr>
          <w:lang w:val="en-GB"/>
        </w:rPr>
      </w:pPr>
      <w:r w:rsidRPr="00E94510">
        <w:rPr>
          <w:b/>
          <w:color w:val="222222"/>
          <w:lang w:val="en-GB"/>
        </w:rPr>
        <w:t>Recommendations</w:t>
      </w:r>
      <w:r w:rsidRPr="00E94510">
        <w:rPr>
          <w:color w:val="222222"/>
          <w:lang w:val="en-GB"/>
        </w:rPr>
        <w:t>:</w:t>
      </w:r>
    </w:p>
    <w:p w14:paraId="35D06102" w14:textId="77777777" w:rsidR="00281246" w:rsidRPr="00E94510" w:rsidRDefault="00743AC7">
      <w:pPr>
        <w:rPr>
          <w:lang w:val="en-GB"/>
        </w:rPr>
      </w:pPr>
      <w:r w:rsidRPr="00E94510">
        <w:rPr>
          <w:lang w:val="en-GB"/>
        </w:rPr>
        <w:t>In view of the above, the LDAC would like to make the following recommendations to the European Commission, to:</w:t>
      </w:r>
    </w:p>
    <w:p w14:paraId="16264BE4" w14:textId="77777777" w:rsidR="00281246" w:rsidRPr="00E94510" w:rsidRDefault="00743AC7">
      <w:pPr>
        <w:numPr>
          <w:ilvl w:val="0"/>
          <w:numId w:val="6"/>
        </w:numPr>
        <w:spacing w:after="220"/>
        <w:rPr>
          <w:b/>
          <w:lang w:val="en-GB"/>
        </w:rPr>
      </w:pPr>
      <w:r w:rsidRPr="007262F8">
        <w:rPr>
          <w:b/>
          <w:highlight w:val="yellow"/>
          <w:lang w:val="en-GB"/>
        </w:rPr>
        <w:t>Step up its engagement with other major DWF nations aiming at equivalent standards in terms of sustainable management of their fleets</w:t>
      </w:r>
      <w:r w:rsidRPr="00E94510">
        <w:rPr>
          <w:b/>
          <w:lang w:val="en-GB"/>
        </w:rPr>
        <w:t xml:space="preserve"> being applied, particularly from the sustainability and transparency perspectives</w:t>
      </w:r>
      <w:r w:rsidRPr="00E94510">
        <w:rPr>
          <w:b/>
          <w:vertAlign w:val="superscript"/>
          <w:lang w:val="en-GB"/>
        </w:rPr>
        <w:footnoteReference w:id="54"/>
      </w:r>
      <w:r w:rsidRPr="00E94510">
        <w:rPr>
          <w:b/>
          <w:lang w:val="en-GB"/>
        </w:rPr>
        <w:t>.</w:t>
      </w:r>
    </w:p>
    <w:p w14:paraId="5E3F6A22" w14:textId="766CB231" w:rsidR="00B15D47" w:rsidRPr="00A6409B" w:rsidRDefault="00743AC7" w:rsidP="00F7535D">
      <w:pPr>
        <w:pStyle w:val="NormalWeb"/>
        <w:numPr>
          <w:ilvl w:val="0"/>
          <w:numId w:val="6"/>
        </w:numPr>
        <w:spacing w:before="0" w:beforeAutospacing="0" w:after="220" w:afterAutospacing="0"/>
        <w:ind w:right="213"/>
        <w:jc w:val="both"/>
        <w:textAlignment w:val="baseline"/>
        <w:rPr>
          <w:rFonts w:asciiTheme="majorHAnsi" w:hAnsiTheme="majorHAnsi" w:cstheme="majorHAnsi"/>
          <w:b/>
          <w:bCs/>
          <w:color w:val="000000"/>
          <w:sz w:val="22"/>
          <w:szCs w:val="22"/>
          <w:lang w:val="en-GB"/>
        </w:rPr>
      </w:pPr>
      <w:r w:rsidRPr="00A6409B">
        <w:rPr>
          <w:rFonts w:asciiTheme="majorHAnsi" w:hAnsiTheme="majorHAnsi" w:cstheme="majorHAnsi"/>
          <w:b/>
          <w:sz w:val="22"/>
          <w:szCs w:val="22"/>
          <w:lang w:val="en-GB"/>
        </w:rPr>
        <w:t xml:space="preserve">In the same vein as the ‘non-discrimination clause’ enshrined in SFPAs, encourage and </w:t>
      </w:r>
      <w:r w:rsidRPr="007262F8">
        <w:rPr>
          <w:rFonts w:asciiTheme="majorHAnsi" w:hAnsiTheme="majorHAnsi" w:cstheme="majorHAnsi"/>
          <w:b/>
          <w:sz w:val="22"/>
          <w:szCs w:val="22"/>
          <w:highlight w:val="yellow"/>
          <w:lang w:val="en-GB"/>
        </w:rPr>
        <w:t>accompany partner coastal countries in strengthening the requirements on sustainability and transparency in access conditions to their EEZ</w:t>
      </w:r>
      <w:r w:rsidR="007F7589" w:rsidRPr="007262F8">
        <w:rPr>
          <w:rFonts w:asciiTheme="majorHAnsi" w:hAnsiTheme="majorHAnsi" w:cstheme="majorHAnsi"/>
          <w:b/>
          <w:sz w:val="22"/>
          <w:szCs w:val="22"/>
          <w:highlight w:val="yellow"/>
          <w:lang w:val="en-GB"/>
        </w:rPr>
        <w:t>,</w:t>
      </w:r>
      <w:r w:rsidR="007F7589" w:rsidRPr="007262F8">
        <w:rPr>
          <w:rFonts w:asciiTheme="majorHAnsi" w:hAnsiTheme="majorHAnsi" w:cstheme="majorHAnsi"/>
          <w:b/>
          <w:bCs/>
          <w:color w:val="000000"/>
          <w:sz w:val="22"/>
          <w:szCs w:val="22"/>
          <w:highlight w:val="yellow"/>
          <w:lang w:val="en-GB"/>
        </w:rPr>
        <w:t xml:space="preserve"> including requirement on recording beneficial ownership information.</w:t>
      </w:r>
      <w:r w:rsidR="007F7589" w:rsidRPr="00A6409B">
        <w:rPr>
          <w:rFonts w:asciiTheme="majorHAnsi" w:hAnsiTheme="majorHAnsi" w:cstheme="majorHAnsi"/>
          <w:b/>
          <w:bCs/>
          <w:color w:val="000000"/>
          <w:sz w:val="22"/>
          <w:szCs w:val="22"/>
          <w:lang w:val="en-GB"/>
        </w:rPr>
        <w:t> </w:t>
      </w:r>
    </w:p>
    <w:p w14:paraId="10BF1146" w14:textId="77777777" w:rsidR="00281246" w:rsidRPr="00A6409B" w:rsidRDefault="00743AC7" w:rsidP="00F7535D">
      <w:pPr>
        <w:pStyle w:val="NormalWeb"/>
        <w:numPr>
          <w:ilvl w:val="0"/>
          <w:numId w:val="6"/>
        </w:numPr>
        <w:spacing w:before="0" w:beforeAutospacing="0" w:after="220" w:afterAutospacing="0"/>
        <w:ind w:right="213"/>
        <w:jc w:val="both"/>
        <w:textAlignment w:val="baseline"/>
        <w:rPr>
          <w:rFonts w:asciiTheme="majorHAnsi" w:hAnsiTheme="majorHAnsi" w:cstheme="majorHAnsi"/>
          <w:b/>
          <w:sz w:val="22"/>
          <w:szCs w:val="22"/>
          <w:lang w:val="en-GB"/>
        </w:rPr>
      </w:pPr>
      <w:r w:rsidRPr="00A6409B">
        <w:rPr>
          <w:rFonts w:asciiTheme="majorHAnsi" w:hAnsiTheme="majorHAnsi" w:cstheme="majorHAnsi"/>
          <w:b/>
          <w:sz w:val="22"/>
          <w:szCs w:val="22"/>
          <w:lang w:val="en-GB"/>
        </w:rPr>
        <w:t xml:space="preserve">Encourage, using all possible channels within the context of the CFP and beyond, coastal </w:t>
      </w:r>
      <w:r w:rsidRPr="007262F8">
        <w:rPr>
          <w:rFonts w:asciiTheme="majorHAnsi" w:hAnsiTheme="majorHAnsi" w:cstheme="majorHAnsi"/>
          <w:b/>
          <w:sz w:val="22"/>
          <w:szCs w:val="22"/>
          <w:highlight w:val="yellow"/>
          <w:lang w:val="en-GB"/>
        </w:rPr>
        <w:t>states to make public and keep up to date details of access agreements and lists of vessels licensed to fish within their waters.</w:t>
      </w:r>
    </w:p>
    <w:p w14:paraId="0D06755D" w14:textId="77777777" w:rsidR="00281246" w:rsidRPr="00E94510" w:rsidRDefault="00743AC7">
      <w:pPr>
        <w:numPr>
          <w:ilvl w:val="0"/>
          <w:numId w:val="6"/>
        </w:numPr>
        <w:spacing w:after="220"/>
        <w:rPr>
          <w:b/>
          <w:lang w:val="en-GB"/>
        </w:rPr>
      </w:pPr>
      <w:r w:rsidRPr="00E94510">
        <w:rPr>
          <w:b/>
          <w:lang w:val="en-GB"/>
        </w:rPr>
        <w:t>Similar arrangements must be set in force to guarantee a level playing field between EU and non-EU fleets in terms of reporting by flag states on the activities of their external fishing fleets (including publish and maintain up to date the list of vessels registered to their flag and lists of vessels authorised to fish outside their EEZ) not only a bilateral but also a multilateral level.</w:t>
      </w:r>
    </w:p>
    <w:p w14:paraId="6D2AB78C" w14:textId="77777777" w:rsidR="001F7172" w:rsidRDefault="001F7172">
      <w:pPr>
        <w:rPr>
          <w:u w:val="single"/>
          <w:lang w:val="en-GB"/>
        </w:rPr>
      </w:pPr>
      <w:r>
        <w:rPr>
          <w:u w:val="single"/>
          <w:lang w:val="en-GB"/>
        </w:rPr>
        <w:br w:type="page"/>
      </w:r>
    </w:p>
    <w:p w14:paraId="08CA7343" w14:textId="77777777" w:rsidR="001F7172" w:rsidRDefault="001F7172">
      <w:pPr>
        <w:widowControl w:val="0"/>
        <w:rPr>
          <w:u w:val="single"/>
          <w:lang w:val="en-GB"/>
        </w:rPr>
      </w:pPr>
    </w:p>
    <w:p w14:paraId="4BD11679" w14:textId="0BD86C96" w:rsidR="00281246" w:rsidRPr="00E94510" w:rsidRDefault="00743AC7">
      <w:pPr>
        <w:widowControl w:val="0"/>
        <w:rPr>
          <w:lang w:val="en-GB"/>
        </w:rPr>
      </w:pPr>
      <w:r w:rsidRPr="00E94510">
        <w:rPr>
          <w:u w:val="single"/>
          <w:lang w:val="en-GB"/>
        </w:rPr>
        <w:t>1.3.2. Internal level playing field</w:t>
      </w:r>
      <w:r w:rsidRPr="00E94510">
        <w:rPr>
          <w:lang w:val="en-GB"/>
        </w:rPr>
        <w:t>:</w:t>
      </w:r>
    </w:p>
    <w:p w14:paraId="2F5807CF" w14:textId="77777777" w:rsidR="00281246" w:rsidRPr="00E94510" w:rsidRDefault="00743AC7">
      <w:pPr>
        <w:widowControl w:val="0"/>
        <w:rPr>
          <w:lang w:val="en-GB"/>
        </w:rPr>
      </w:pPr>
      <w:r w:rsidRPr="00E94510">
        <w:rPr>
          <w:lang w:val="en-GB"/>
        </w:rPr>
        <w:t>There are issues with the implementation of the SMEFF which varies amongst Member States. Several cases have been reported (notably about vessels from Italy</w:t>
      </w:r>
      <w:r w:rsidRPr="00E94510">
        <w:rPr>
          <w:vertAlign w:val="superscript"/>
          <w:lang w:val="en-GB"/>
        </w:rPr>
        <w:footnoteReference w:id="55"/>
      </w:r>
      <w:r w:rsidRPr="00E94510">
        <w:rPr>
          <w:lang w:val="en-GB"/>
        </w:rPr>
        <w:t xml:space="preserve"> and Latvia) where vessels with a fishing authorisation do not respect sustainability eligibility requirements, or conditions set up in SFPAs and the SMEFF. </w:t>
      </w:r>
    </w:p>
    <w:p w14:paraId="5F306098" w14:textId="3DD5B93A" w:rsidR="00281246" w:rsidRPr="00E94510" w:rsidRDefault="00743AC7">
      <w:pPr>
        <w:widowControl w:val="0"/>
        <w:rPr>
          <w:lang w:val="en-GB"/>
        </w:rPr>
      </w:pPr>
      <w:r w:rsidRPr="00E94510">
        <w:rPr>
          <w:lang w:val="en-GB"/>
        </w:rPr>
        <w:t>On another note, the LDAC acknowledges the progress achieved with the publication of downloadable and updated lists of authorisations</w:t>
      </w:r>
      <w:r w:rsidRPr="00E94510">
        <w:rPr>
          <w:vertAlign w:val="superscript"/>
          <w:lang w:val="en-GB"/>
        </w:rPr>
        <w:footnoteReference w:id="56"/>
      </w:r>
      <w:r w:rsidRPr="00E94510">
        <w:rPr>
          <w:lang w:val="en-GB"/>
        </w:rPr>
        <w:t xml:space="preserve"> pending the development of the Union database for fishing authorisations foreseen under Article 39 of the SMEFF. However, it notes that instances of fishing vessels actively fishing outside Union waters while not being recorded in the lists made public have been identified.</w:t>
      </w:r>
    </w:p>
    <w:p w14:paraId="5DF6A399" w14:textId="0DA760A5" w:rsidR="00281246" w:rsidRPr="00E94510" w:rsidRDefault="00743AC7">
      <w:pPr>
        <w:widowControl w:val="0"/>
        <w:rPr>
          <w:lang w:val="en-GB"/>
        </w:rPr>
      </w:pPr>
      <w:r w:rsidRPr="00E94510">
        <w:rPr>
          <w:lang w:val="en-GB"/>
        </w:rPr>
        <w:t>As highlighted in previous communications</w:t>
      </w:r>
      <w:r w:rsidRPr="00E94510">
        <w:rPr>
          <w:vertAlign w:val="superscript"/>
          <w:lang w:val="en-GB"/>
        </w:rPr>
        <w:footnoteReference w:id="57"/>
      </w:r>
      <w:r w:rsidRPr="00E94510">
        <w:rPr>
          <w:vertAlign w:val="superscript"/>
          <w:lang w:val="en-GB"/>
        </w:rPr>
        <w:t>,</w:t>
      </w:r>
      <w:r w:rsidRPr="00E94510">
        <w:rPr>
          <w:vertAlign w:val="superscript"/>
          <w:lang w:val="en-GB"/>
        </w:rPr>
        <w:footnoteReference w:id="58"/>
      </w:r>
      <w:r w:rsidRPr="00E94510">
        <w:rPr>
          <w:lang w:val="en-GB"/>
        </w:rPr>
        <w:t xml:space="preserve">, the LDAC is of the view that </w:t>
      </w:r>
      <w:r w:rsidRPr="007262F8">
        <w:rPr>
          <w:highlight w:val="yellow"/>
          <w:lang w:val="en-GB"/>
        </w:rPr>
        <w:t>ensuring effective implementation of the SMEFF is essential to preserving the credibility of the EU at advocating for similar standards –and more particularly transparency and accountability measures– across the globe</w:t>
      </w:r>
      <w:r w:rsidR="001F7172" w:rsidRPr="007262F8">
        <w:rPr>
          <w:highlight w:val="yellow"/>
          <w:lang w:val="en-GB"/>
        </w:rPr>
        <w:t>.</w:t>
      </w:r>
    </w:p>
    <w:p w14:paraId="59EF1280" w14:textId="56AEF3E2" w:rsidR="00281246" w:rsidRPr="00E94510" w:rsidRDefault="00743AC7">
      <w:pPr>
        <w:rPr>
          <w:lang w:val="en-GB"/>
        </w:rPr>
      </w:pPr>
      <w:r w:rsidRPr="00E94510">
        <w:rPr>
          <w:b/>
          <w:color w:val="222222"/>
          <w:highlight w:val="white"/>
          <w:lang w:val="en-GB"/>
        </w:rPr>
        <w:t>Recommendations</w:t>
      </w:r>
      <w:r w:rsidRPr="00E94510">
        <w:rPr>
          <w:color w:val="222222"/>
          <w:highlight w:val="white"/>
          <w:lang w:val="en-GB"/>
        </w:rPr>
        <w:t>:</w:t>
      </w:r>
    </w:p>
    <w:p w14:paraId="43A5A43F" w14:textId="77777777" w:rsidR="00281246" w:rsidRPr="00E94510" w:rsidRDefault="00743AC7">
      <w:pPr>
        <w:rPr>
          <w:lang w:val="en-GB"/>
        </w:rPr>
      </w:pPr>
      <w:r w:rsidRPr="00E94510">
        <w:rPr>
          <w:lang w:val="en-GB"/>
        </w:rPr>
        <w:t>In view of the above, the LDAC would like to make the following recommendations to the European Commission, to:</w:t>
      </w:r>
    </w:p>
    <w:p w14:paraId="449AE65E" w14:textId="77777777" w:rsidR="00281246" w:rsidRPr="007262F8" w:rsidRDefault="00743AC7">
      <w:pPr>
        <w:numPr>
          <w:ilvl w:val="0"/>
          <w:numId w:val="6"/>
        </w:numPr>
        <w:spacing w:after="220"/>
        <w:rPr>
          <w:b/>
          <w:highlight w:val="yellow"/>
          <w:lang w:val="en-GB"/>
        </w:rPr>
      </w:pPr>
      <w:r w:rsidRPr="00E94510">
        <w:rPr>
          <w:b/>
          <w:lang w:val="en-GB"/>
        </w:rPr>
        <w:t xml:space="preserve">Prioritise effective implementation of the SMEFF. In this context, the </w:t>
      </w:r>
      <w:r w:rsidRPr="007262F8">
        <w:rPr>
          <w:b/>
          <w:highlight w:val="yellow"/>
          <w:lang w:val="en-GB"/>
        </w:rPr>
        <w:t>European Commission should proactively take action against Member States who fail to provide information in a timely and accurate fashion.</w:t>
      </w:r>
    </w:p>
    <w:p w14:paraId="05848A0E" w14:textId="7DCF2059" w:rsidR="00281246" w:rsidRPr="00E94510" w:rsidRDefault="00743AC7">
      <w:pPr>
        <w:numPr>
          <w:ilvl w:val="0"/>
          <w:numId w:val="6"/>
        </w:numPr>
        <w:spacing w:after="220"/>
        <w:rPr>
          <w:b/>
          <w:lang w:val="en-GB"/>
        </w:rPr>
      </w:pPr>
      <w:r w:rsidRPr="007262F8">
        <w:rPr>
          <w:b/>
          <w:highlight w:val="yellow"/>
          <w:lang w:val="en-GB"/>
        </w:rPr>
        <w:t>Deliver the Union public database for fishing authorisations without further undue delay</w:t>
      </w:r>
      <w:r w:rsidR="00F87AC6" w:rsidRPr="007262F8">
        <w:rPr>
          <w:b/>
          <w:highlight w:val="yellow"/>
          <w:lang w:val="en-GB"/>
        </w:rPr>
        <w:t>.</w:t>
      </w:r>
      <w:r w:rsidRPr="00E94510">
        <w:rPr>
          <w:b/>
          <w:lang w:val="en-GB"/>
        </w:rPr>
        <w:t xml:space="preserve"> </w:t>
      </w:r>
      <w:r w:rsidR="00F87AC6">
        <w:rPr>
          <w:b/>
          <w:lang w:val="en-GB"/>
        </w:rPr>
        <w:t>T</w:t>
      </w:r>
      <w:r w:rsidRPr="00E94510">
        <w:rPr>
          <w:b/>
          <w:lang w:val="en-GB"/>
        </w:rPr>
        <w:t xml:space="preserve">his should be a </w:t>
      </w:r>
      <w:r w:rsidR="00E10E07" w:rsidRPr="007262F8">
        <w:rPr>
          <w:b/>
          <w:highlight w:val="yellow"/>
          <w:lang w:val="en-GB"/>
        </w:rPr>
        <w:t>user-friendly</w:t>
      </w:r>
      <w:r w:rsidRPr="00E94510">
        <w:rPr>
          <w:b/>
          <w:lang w:val="en-GB"/>
        </w:rPr>
        <w:t xml:space="preserve"> database that allows to find authorisations since January 17, 2018 per vessel, which is currently not possible. </w:t>
      </w:r>
    </w:p>
    <w:p w14:paraId="48B0EFC3" w14:textId="77777777" w:rsidR="00281246" w:rsidRPr="00E94510" w:rsidRDefault="00743AC7">
      <w:pPr>
        <w:numPr>
          <w:ilvl w:val="0"/>
          <w:numId w:val="6"/>
        </w:numPr>
        <w:spacing w:after="220"/>
        <w:rPr>
          <w:b/>
          <w:lang w:val="en-GB"/>
        </w:rPr>
      </w:pPr>
      <w:r w:rsidRPr="00E94510">
        <w:rPr>
          <w:b/>
          <w:lang w:val="en-GB"/>
        </w:rPr>
        <w:t xml:space="preserve">In the meantime, ensure that the downloadable and updated lists of authorisations contain up to date information. In this context, the European Commission could envisage requesting support from EFCA in verifying whether EU flagged vessels operating outside Union waters – particularly off the West African coast in countries with which the EU has not concluded a SFPA – are duly included in the lists of authorisations. </w:t>
      </w:r>
    </w:p>
    <w:p w14:paraId="11067FD8" w14:textId="77777777" w:rsidR="001F7172" w:rsidRPr="007262F8" w:rsidRDefault="00743AC7">
      <w:pPr>
        <w:numPr>
          <w:ilvl w:val="0"/>
          <w:numId w:val="6"/>
        </w:numPr>
        <w:spacing w:after="220"/>
        <w:rPr>
          <w:b/>
          <w:highlight w:val="yellow"/>
          <w:lang w:val="en-GB"/>
        </w:rPr>
      </w:pPr>
      <w:r w:rsidRPr="007262F8">
        <w:rPr>
          <w:b/>
          <w:highlight w:val="yellow"/>
          <w:lang w:val="en-GB"/>
        </w:rPr>
        <w:t>Facilitate public access to beneficial ownership information (limited to the name, country of residence and nationality of the beneficial owner</w:t>
      </w:r>
      <w:r w:rsidR="004B3DD8" w:rsidRPr="007262F8">
        <w:rPr>
          <w:b/>
          <w:highlight w:val="yellow"/>
          <w:lang w:val="en-GB"/>
        </w:rPr>
        <w:t>s</w:t>
      </w:r>
      <w:r w:rsidRPr="007262F8">
        <w:rPr>
          <w:b/>
          <w:highlight w:val="yellow"/>
          <w:lang w:val="en-GB"/>
        </w:rPr>
        <w:t xml:space="preserve">, as well as the nature and extent of the beneficial interest held) when there is an overriding public interest in disclosure of this information in case of documented involvement in IUU fishing operations, corruption or money laundering. </w:t>
      </w:r>
    </w:p>
    <w:p w14:paraId="3275D922" w14:textId="77777777" w:rsidR="001F7172" w:rsidRDefault="001F7172" w:rsidP="001F7172">
      <w:pPr>
        <w:spacing w:after="220"/>
        <w:ind w:left="720"/>
        <w:rPr>
          <w:b/>
          <w:lang w:val="en-GB"/>
        </w:rPr>
      </w:pPr>
    </w:p>
    <w:p w14:paraId="46EAD9EA" w14:textId="2A2D99E6" w:rsidR="00281246" w:rsidRPr="00E94510" w:rsidRDefault="00743AC7" w:rsidP="001F7172">
      <w:pPr>
        <w:spacing w:after="220"/>
        <w:ind w:left="720"/>
        <w:rPr>
          <w:b/>
          <w:lang w:val="en-GB"/>
        </w:rPr>
      </w:pPr>
      <w:r w:rsidRPr="00E94510">
        <w:rPr>
          <w:b/>
          <w:lang w:val="en-GB"/>
        </w:rPr>
        <w:t xml:space="preserve">This would align the implementation of the SMEFF with Regulation 1049/2001 regarding public access to European Parliament, Council and Commission documents, Regulation 1367/2006 on the application of the provisions of the </w:t>
      </w:r>
      <w:r w:rsidRPr="007262F8">
        <w:rPr>
          <w:b/>
          <w:highlight w:val="yellow"/>
          <w:lang w:val="en-GB"/>
        </w:rPr>
        <w:t>Aarhus Convention on Access to Information, Public Participation in Decision-making and Access to Justice in Environmental Matters to Community institutions and bodies, and the fifth EU Anti-Money Laundering Directive, which provides that Member States must make the registers of beneficial owners of companies</w:t>
      </w:r>
      <w:r w:rsidR="00F927F4" w:rsidRPr="007262F8">
        <w:rPr>
          <w:b/>
          <w:highlight w:val="yellow"/>
          <w:lang w:val="en-GB"/>
        </w:rPr>
        <w:t xml:space="preserve"> </w:t>
      </w:r>
      <w:r w:rsidR="00B15D47" w:rsidRPr="007262F8">
        <w:rPr>
          <w:b/>
          <w:highlight w:val="yellow"/>
          <w:lang w:val="en-GB"/>
        </w:rPr>
        <w:t>publicly</w:t>
      </w:r>
      <w:r w:rsidRPr="007262F8">
        <w:rPr>
          <w:b/>
          <w:highlight w:val="yellow"/>
          <w:lang w:val="en-GB"/>
        </w:rPr>
        <w:t xml:space="preserve"> accessible</w:t>
      </w:r>
      <w:r w:rsidR="00F927F4" w:rsidRPr="007262F8">
        <w:rPr>
          <w:b/>
          <w:highlight w:val="yellow"/>
          <w:lang w:val="en-GB"/>
        </w:rPr>
        <w:t xml:space="preserve"> to any member of the general public under conditions as stipulated above.</w:t>
      </w:r>
      <w:r w:rsidR="00080B71">
        <w:rPr>
          <w:b/>
          <w:lang w:val="en-GB"/>
        </w:rPr>
        <w:t xml:space="preserve"> </w:t>
      </w:r>
      <w:r w:rsidRPr="00E94510">
        <w:rPr>
          <w:b/>
          <w:lang w:val="en-GB"/>
        </w:rPr>
        <w:t xml:space="preserve"> </w:t>
      </w:r>
    </w:p>
    <w:p w14:paraId="661EA067" w14:textId="0EAB1E44" w:rsidR="000F2147" w:rsidRPr="007262F8" w:rsidRDefault="00743AC7" w:rsidP="005672DE">
      <w:pPr>
        <w:numPr>
          <w:ilvl w:val="0"/>
          <w:numId w:val="6"/>
        </w:numPr>
        <w:spacing w:after="220"/>
        <w:rPr>
          <w:b/>
          <w:highlight w:val="yellow"/>
          <w:lang w:val="en-GB"/>
        </w:rPr>
      </w:pPr>
      <w:r w:rsidRPr="007262F8">
        <w:rPr>
          <w:b/>
          <w:highlight w:val="yellow"/>
          <w:lang w:val="en-GB"/>
        </w:rPr>
        <w:t>Facilitate public access to information on direct authorisations under Article 17 of the SMEFF that provide evidence of the “scientific evaluation demonstrating the sustainability of the planned fishing operations, including consistency with the provisions of Article 62 of UNCLOS, as applicable” when there is an overriding public interest in disclosure of this information, such as documented participation in IUU fishing operations.</w:t>
      </w:r>
    </w:p>
    <w:p w14:paraId="109DD219" w14:textId="77777777" w:rsidR="001F7172" w:rsidRDefault="001F7172">
      <w:pPr>
        <w:widowControl w:val="0"/>
        <w:rPr>
          <w:b/>
          <w:lang w:val="en-GB"/>
        </w:rPr>
      </w:pPr>
    </w:p>
    <w:p w14:paraId="117767A9" w14:textId="6C764765" w:rsidR="00281246" w:rsidRPr="00E94510" w:rsidRDefault="00743AC7">
      <w:pPr>
        <w:widowControl w:val="0"/>
        <w:rPr>
          <w:color w:val="548DD4"/>
          <w:lang w:val="en-GB"/>
        </w:rPr>
      </w:pPr>
      <w:r w:rsidRPr="00E94510">
        <w:rPr>
          <w:b/>
          <w:lang w:val="en-GB"/>
        </w:rPr>
        <w:t>1.4 - Sustainable fisheries partnership agreements (SFPAs)</w:t>
      </w:r>
    </w:p>
    <w:p w14:paraId="2CD0782A" w14:textId="3C7AF943" w:rsidR="00281246" w:rsidRPr="00E94510" w:rsidRDefault="00743AC7">
      <w:pPr>
        <w:widowControl w:val="0"/>
        <w:spacing w:before="240" w:after="240"/>
        <w:rPr>
          <w:lang w:val="en-GB"/>
        </w:rPr>
      </w:pPr>
      <w:r w:rsidRPr="00E94510">
        <w:rPr>
          <w:lang w:val="en-GB"/>
        </w:rPr>
        <w:t xml:space="preserve">SFPAs are based on best available science in order to target, in mixed SFPAs, </w:t>
      </w:r>
      <w:r w:rsidRPr="007262F8">
        <w:rPr>
          <w:highlight w:val="yellow"/>
          <w:lang w:val="en-GB"/>
        </w:rPr>
        <w:t>the surplus of resources that cannot be caught locally. In that sense, SFPAs improve the level playing field for local coastal fisheries. SFPAs also contribute to reinforce the capacity of the partner country to manage its fish resources sustainably, through the use of sectoral support for various management and sustainable development initiatives.</w:t>
      </w:r>
      <w:r w:rsidRPr="00E94510">
        <w:rPr>
          <w:lang w:val="en-GB"/>
        </w:rPr>
        <w:t xml:space="preserve"> SFPAs </w:t>
      </w:r>
      <w:r w:rsidR="00EF1CD1">
        <w:rPr>
          <w:lang w:val="en-GB"/>
        </w:rPr>
        <w:t>aim to be</w:t>
      </w:r>
      <w:r w:rsidRPr="00E94510">
        <w:rPr>
          <w:lang w:val="en-GB"/>
        </w:rPr>
        <w:t xml:space="preserve"> transparent</w:t>
      </w:r>
      <w:r w:rsidR="00EF1CD1">
        <w:rPr>
          <w:lang w:val="en-GB"/>
        </w:rPr>
        <w:t xml:space="preserve"> instruments</w:t>
      </w:r>
      <w:r w:rsidRPr="00E94510">
        <w:rPr>
          <w:lang w:val="en-GB"/>
        </w:rPr>
        <w:t>: information about each SFPA, their protocols, budgets and evaluations, are publicly available. In some recent SFPAs, a clause for ensuring transparency across the board (publication by the third country of the fishing agreements they have with other fleets, sharing of the list of licensed vessels, etc.) as well as a ‘non-discrimination clause’, under which the third country should offer similar financial and technical conditions to other distant water fleets have the potential, if they were applied properly, to establish a</w:t>
      </w:r>
      <w:r w:rsidR="00EF1CD1">
        <w:rPr>
          <w:lang w:val="en-GB"/>
        </w:rPr>
        <w:t>n even</w:t>
      </w:r>
      <w:r w:rsidRPr="00E94510">
        <w:rPr>
          <w:lang w:val="en-GB"/>
        </w:rPr>
        <w:t xml:space="preserve"> level playing field. </w:t>
      </w:r>
    </w:p>
    <w:p w14:paraId="549EBED2" w14:textId="63F3D0C4" w:rsidR="00281246" w:rsidRPr="00E94510" w:rsidRDefault="00743AC7">
      <w:pPr>
        <w:widowControl w:val="0"/>
        <w:spacing w:before="240" w:after="240"/>
        <w:rPr>
          <w:lang w:val="en-GB"/>
        </w:rPr>
      </w:pPr>
      <w:r w:rsidRPr="00E94510">
        <w:rPr>
          <w:lang w:val="en-GB"/>
        </w:rPr>
        <w:t>However, these clauses (transparency and non-discrimination) are not fully implemented (</w:t>
      </w:r>
      <w:r w:rsidR="005F185B" w:rsidRPr="00E94510">
        <w:rPr>
          <w:lang w:val="en-GB"/>
        </w:rPr>
        <w:t>e.g.,</w:t>
      </w:r>
      <w:r w:rsidR="00EF1CD1">
        <w:rPr>
          <w:lang w:val="en-GB"/>
        </w:rPr>
        <w:t xml:space="preserve"> </w:t>
      </w:r>
      <w:r w:rsidRPr="00E94510">
        <w:rPr>
          <w:lang w:val="en-GB"/>
        </w:rPr>
        <w:t>Mauritania) as often documents are not published or not fully published by the third country. The efficiency of the sectoral support is not always maximised.</w:t>
      </w:r>
    </w:p>
    <w:p w14:paraId="690B56C7" w14:textId="5897FAC0" w:rsidR="00281246" w:rsidRPr="00E94510" w:rsidRDefault="00743AC7">
      <w:pPr>
        <w:widowControl w:val="0"/>
        <w:spacing w:after="240"/>
        <w:rPr>
          <w:lang w:val="en-GB"/>
        </w:rPr>
      </w:pPr>
      <w:r w:rsidRPr="00D06131">
        <w:rPr>
          <w:highlight w:val="yellow"/>
          <w:lang w:val="en-GB"/>
        </w:rPr>
        <w:t>SFPAs are the perfect instrument to be used by the EU to encourage third countries</w:t>
      </w:r>
      <w:r w:rsidRPr="00E94510">
        <w:rPr>
          <w:lang w:val="en-GB"/>
        </w:rPr>
        <w:t xml:space="preserve"> to not only actively contribute to </w:t>
      </w:r>
      <w:r w:rsidRPr="00D06131">
        <w:rPr>
          <w:highlight w:val="yellow"/>
          <w:lang w:val="en-GB"/>
        </w:rPr>
        <w:t>tackle IUU fishing, but also to create capacity building</w:t>
      </w:r>
      <w:r w:rsidR="00E10E07" w:rsidRPr="00D06131">
        <w:rPr>
          <w:highlight w:val="yellow"/>
          <w:lang w:val="en-GB"/>
        </w:rPr>
        <w:t xml:space="preserve"> benefiting</w:t>
      </w:r>
      <w:r w:rsidR="00E10E07">
        <w:rPr>
          <w:lang w:val="en-GB"/>
        </w:rPr>
        <w:t xml:space="preserve"> from support from EFCA</w:t>
      </w:r>
      <w:r w:rsidRPr="00D06131">
        <w:rPr>
          <w:highlight w:val="yellow"/>
          <w:lang w:val="en-GB"/>
        </w:rPr>
        <w:t>, enhance the sustainable development of fisheries</w:t>
      </w:r>
      <w:r w:rsidRPr="00E94510">
        <w:rPr>
          <w:lang w:val="en-GB"/>
        </w:rPr>
        <w:t xml:space="preserve"> in the partner countries and </w:t>
      </w:r>
      <w:r w:rsidRPr="00D06131">
        <w:rPr>
          <w:highlight w:val="yellow"/>
          <w:lang w:val="en-GB"/>
        </w:rPr>
        <w:t>promote social standards</w:t>
      </w:r>
      <w:r w:rsidRPr="00E94510">
        <w:rPr>
          <w:lang w:val="en-GB"/>
        </w:rPr>
        <w:t xml:space="preserve"> – </w:t>
      </w:r>
      <w:r w:rsidR="00E10E07" w:rsidRPr="00E94510">
        <w:rPr>
          <w:lang w:val="en-GB"/>
        </w:rPr>
        <w:t>including by</w:t>
      </w:r>
      <w:r w:rsidRPr="00E94510">
        <w:rPr>
          <w:lang w:val="en-GB"/>
        </w:rPr>
        <w:t xml:space="preserve"> providing training facilities for local fishers and setting up a mechanism to employ these </w:t>
      </w:r>
      <w:r w:rsidR="000F2147" w:rsidRPr="00E94510">
        <w:rPr>
          <w:lang w:val="en-GB"/>
        </w:rPr>
        <w:t>well-trained</w:t>
      </w:r>
      <w:r w:rsidRPr="00E94510">
        <w:rPr>
          <w:lang w:val="en-GB"/>
        </w:rPr>
        <w:t xml:space="preserve"> fishers. This </w:t>
      </w:r>
      <w:r w:rsidRPr="00D06131">
        <w:rPr>
          <w:highlight w:val="yellow"/>
          <w:lang w:val="en-GB"/>
        </w:rPr>
        <w:t>contributes to improving the global level playing field. Coherence with Free Trade Agreements</w:t>
      </w:r>
      <w:r w:rsidRPr="00E94510">
        <w:rPr>
          <w:lang w:val="en-GB"/>
        </w:rPr>
        <w:t xml:space="preserve"> (FTAs) </w:t>
      </w:r>
      <w:r w:rsidRPr="00D06131">
        <w:rPr>
          <w:highlight w:val="yellow"/>
          <w:lang w:val="en-GB"/>
        </w:rPr>
        <w:t>is hereby important as FTAs</w:t>
      </w:r>
      <w:r w:rsidRPr="00E94510">
        <w:rPr>
          <w:lang w:val="en-GB"/>
        </w:rPr>
        <w:t xml:space="preserve"> may include provisions on trade and sustainable development that do focus on promoting decent work conditions and environmental protection, but often placed in a non-binding section of the Agreement. By extension, </w:t>
      </w:r>
      <w:r w:rsidRPr="00D06131">
        <w:rPr>
          <w:highlight w:val="yellow"/>
          <w:lang w:val="en-GB"/>
        </w:rPr>
        <w:t>coherence and synergies with other EU actions, instruments and policies relevant to these issues (</w:t>
      </w:r>
      <w:r w:rsidR="005F185B" w:rsidRPr="00D06131">
        <w:rPr>
          <w:highlight w:val="yellow"/>
          <w:lang w:val="en-GB"/>
        </w:rPr>
        <w:t>e.g.,</w:t>
      </w:r>
      <w:r w:rsidR="00EF1CD1" w:rsidRPr="00D06131">
        <w:rPr>
          <w:highlight w:val="yellow"/>
          <w:lang w:val="en-GB"/>
        </w:rPr>
        <w:t xml:space="preserve"> </w:t>
      </w:r>
      <w:r w:rsidRPr="00D06131">
        <w:rPr>
          <w:highlight w:val="yellow"/>
          <w:lang w:val="en-GB"/>
        </w:rPr>
        <w:t>development) is equally fundamental</w:t>
      </w:r>
      <w:r w:rsidRPr="00E94510">
        <w:rPr>
          <w:lang w:val="en-GB"/>
        </w:rPr>
        <w:t>; with an emphasis on supporting local sustainable fishing communities, particularly the promotion of the role of women.</w:t>
      </w:r>
    </w:p>
    <w:p w14:paraId="730CFDFC" w14:textId="7C305A64" w:rsidR="00281246" w:rsidRDefault="00743AC7">
      <w:pPr>
        <w:widowControl w:val="0"/>
        <w:rPr>
          <w:lang w:val="en-GB"/>
        </w:rPr>
      </w:pPr>
      <w:r w:rsidRPr="00E94510">
        <w:rPr>
          <w:lang w:val="en-GB"/>
        </w:rPr>
        <w:lastRenderedPageBreak/>
        <w:t xml:space="preserve">The LDAC has notably identified the following as implementation issues related to establishing an internal and external level playing field: (i) </w:t>
      </w:r>
      <w:r w:rsidRPr="00D06131">
        <w:rPr>
          <w:highlight w:val="yellow"/>
          <w:lang w:val="en-GB"/>
        </w:rPr>
        <w:t>lack of effective implementation of the non-discrimination clause; (ii) issues with reporting on all (public and private) fishing agreements with other non-EU countries operating in the EEZ of SFPA partner countries which are particularly relevant to avoid overexploitation of stocks; and (iii) need for urgent efforts to ensure policy coherence for development, coordination and transparency across relevant EU policies</w:t>
      </w:r>
      <w:r w:rsidRPr="00E94510">
        <w:rPr>
          <w:lang w:val="en-GB"/>
        </w:rPr>
        <w:t xml:space="preserve"> and agencies to maximise the beneficial outcomes under SFPAs, and for action from SFPA partner countries, including in terms of participation and data reporting at RFMOs. The EU evaluation methodology is revised to allow a better understanding of local fisheries development dynamics, to ensure efficient actions – which are key to the sustainable development of fisheries in partner countries – are pursued through SFPAs.</w:t>
      </w:r>
    </w:p>
    <w:p w14:paraId="1E5EA8C9" w14:textId="1FBEE442" w:rsidR="00FE7EF2" w:rsidRDefault="004B3DD8" w:rsidP="00A6409B">
      <w:pPr>
        <w:widowControl w:val="0"/>
        <w:rPr>
          <w:lang w:val="en-GB"/>
        </w:rPr>
      </w:pPr>
      <w:r>
        <w:rPr>
          <w:lang w:val="en-GB"/>
        </w:rPr>
        <w:t xml:space="preserve">It needs also to be noted that SFPAs include an article promoting cooperation between fishing operators of both parties, including under joint ventures, but without stipulating the conditions for such joint ventures to be sustainable. In many partner countries, the context for the establishment and for controlling the operations of such enterprises set up with foreign companies is weak and opaque. </w:t>
      </w:r>
    </w:p>
    <w:p w14:paraId="79477EC8" w14:textId="77777777" w:rsidR="001F7172" w:rsidRPr="00A6409B" w:rsidRDefault="001F7172" w:rsidP="00A6409B">
      <w:pPr>
        <w:widowControl w:val="0"/>
        <w:rPr>
          <w:lang w:val="en-GB"/>
        </w:rPr>
      </w:pPr>
    </w:p>
    <w:p w14:paraId="5478A9C0" w14:textId="3020B838" w:rsidR="00281246" w:rsidRPr="00E94510" w:rsidRDefault="00743AC7">
      <w:pPr>
        <w:rPr>
          <w:color w:val="222222"/>
          <w:highlight w:val="white"/>
          <w:lang w:val="en-GB"/>
        </w:rPr>
      </w:pPr>
      <w:r w:rsidRPr="00E94510">
        <w:rPr>
          <w:b/>
          <w:color w:val="222222"/>
          <w:highlight w:val="white"/>
          <w:lang w:val="en-GB"/>
        </w:rPr>
        <w:t>Recommendations</w:t>
      </w:r>
      <w:r w:rsidRPr="00E94510">
        <w:rPr>
          <w:color w:val="222222"/>
          <w:highlight w:val="white"/>
          <w:lang w:val="en-GB"/>
        </w:rPr>
        <w:t>:</w:t>
      </w:r>
    </w:p>
    <w:p w14:paraId="341518AC" w14:textId="77777777" w:rsidR="00281246" w:rsidRPr="00E94510" w:rsidRDefault="00743AC7">
      <w:pPr>
        <w:rPr>
          <w:lang w:val="en-GB"/>
        </w:rPr>
      </w:pPr>
      <w:r w:rsidRPr="00E94510">
        <w:rPr>
          <w:lang w:val="en-GB"/>
        </w:rPr>
        <w:t>In view of the above, the LDAC would like to make the following recommendations to the European Commission, to:</w:t>
      </w:r>
    </w:p>
    <w:p w14:paraId="286043DF" w14:textId="38261025" w:rsidR="00281246" w:rsidRDefault="00743AC7">
      <w:pPr>
        <w:widowControl w:val="0"/>
        <w:numPr>
          <w:ilvl w:val="0"/>
          <w:numId w:val="5"/>
        </w:numPr>
        <w:spacing w:after="240"/>
        <w:rPr>
          <w:b/>
          <w:lang w:val="en-GB"/>
        </w:rPr>
      </w:pPr>
      <w:bookmarkStart w:id="6" w:name="_Hlk70618145"/>
      <w:r w:rsidRPr="00E94510">
        <w:rPr>
          <w:b/>
          <w:lang w:val="en-GB"/>
        </w:rPr>
        <w:t xml:space="preserve">Building on the recommendations formulated in the previous section relating to the SMEFF which the LDAC believe relevant, strive to achieve </w:t>
      </w:r>
      <w:r w:rsidRPr="00D06131">
        <w:rPr>
          <w:b/>
          <w:highlight w:val="yellow"/>
          <w:lang w:val="en-GB"/>
        </w:rPr>
        <w:t xml:space="preserve">effective implementation of the transparency and </w:t>
      </w:r>
      <w:r w:rsidR="00A52C9F" w:rsidRPr="00D06131">
        <w:rPr>
          <w:b/>
          <w:highlight w:val="yellow"/>
          <w:lang w:val="en-GB"/>
        </w:rPr>
        <w:t>non-discrimination</w:t>
      </w:r>
      <w:r w:rsidRPr="00D06131">
        <w:rPr>
          <w:b/>
          <w:highlight w:val="yellow"/>
          <w:lang w:val="en-GB"/>
        </w:rPr>
        <w:t xml:space="preserve"> </w:t>
      </w:r>
      <w:r w:rsidR="00A52C9F" w:rsidRPr="00D06131">
        <w:rPr>
          <w:b/>
          <w:highlight w:val="yellow"/>
          <w:lang w:val="en-GB"/>
        </w:rPr>
        <w:t xml:space="preserve">clauses </w:t>
      </w:r>
      <w:r w:rsidRPr="00D06131">
        <w:rPr>
          <w:b/>
          <w:highlight w:val="yellow"/>
          <w:lang w:val="en-GB"/>
        </w:rPr>
        <w:t>by and in SFPA partner countries</w:t>
      </w:r>
      <w:r w:rsidRPr="00E94510">
        <w:rPr>
          <w:b/>
          <w:lang w:val="en-GB"/>
        </w:rPr>
        <w:t>, further accompanying them in that endeavour.</w:t>
      </w:r>
    </w:p>
    <w:p w14:paraId="10187D22" w14:textId="77777777" w:rsidR="00281246" w:rsidRPr="00E94510" w:rsidRDefault="00743AC7">
      <w:pPr>
        <w:widowControl w:val="0"/>
        <w:numPr>
          <w:ilvl w:val="0"/>
          <w:numId w:val="5"/>
        </w:numPr>
        <w:spacing w:after="240"/>
        <w:rPr>
          <w:b/>
          <w:lang w:val="en-GB"/>
        </w:rPr>
      </w:pPr>
      <w:r w:rsidRPr="00E94510">
        <w:rPr>
          <w:b/>
          <w:lang w:val="en-GB"/>
        </w:rPr>
        <w:t xml:space="preserve">Ensure </w:t>
      </w:r>
      <w:r w:rsidRPr="00D06131">
        <w:rPr>
          <w:b/>
          <w:highlight w:val="yellow"/>
          <w:lang w:val="en-GB"/>
        </w:rPr>
        <w:t>coherence of EU trade agreements with SFPAs when it comes to provisions on fundamental international instruments of human, labour and social rights</w:t>
      </w:r>
      <w:r w:rsidRPr="00E94510">
        <w:rPr>
          <w:b/>
          <w:highlight w:val="white"/>
          <w:lang w:val="en-GB"/>
        </w:rPr>
        <w:t xml:space="preserve"> to ratify and to be implemented by the third country</w:t>
      </w:r>
      <w:r w:rsidRPr="00E94510">
        <w:rPr>
          <w:b/>
          <w:highlight w:val="white"/>
          <w:vertAlign w:val="superscript"/>
          <w:lang w:val="en-GB"/>
        </w:rPr>
        <w:footnoteReference w:id="59"/>
      </w:r>
      <w:r w:rsidRPr="00E94510">
        <w:rPr>
          <w:b/>
          <w:lang w:val="en-GB"/>
        </w:rPr>
        <w:t xml:space="preserve">. </w:t>
      </w:r>
    </w:p>
    <w:p w14:paraId="3080CE44" w14:textId="411FF390" w:rsidR="00D52D05" w:rsidRPr="00E94510" w:rsidRDefault="00743AC7">
      <w:pPr>
        <w:widowControl w:val="0"/>
        <w:numPr>
          <w:ilvl w:val="0"/>
          <w:numId w:val="5"/>
        </w:numPr>
        <w:spacing w:after="240"/>
        <w:rPr>
          <w:b/>
          <w:lang w:val="en-GB"/>
        </w:rPr>
      </w:pPr>
      <w:r w:rsidRPr="00E94510">
        <w:rPr>
          <w:b/>
          <w:lang w:val="en-GB"/>
        </w:rPr>
        <w:t xml:space="preserve">Ensure that </w:t>
      </w:r>
      <w:r w:rsidRPr="00D06131">
        <w:rPr>
          <w:b/>
          <w:highlight w:val="yellow"/>
          <w:lang w:val="en-GB"/>
        </w:rPr>
        <w:t>SFPAs enhance the sustainable development of fisheries in the partner countries through coherence and synergies between the use of sectoral support and other relevant EU actions, instruments and policies</w:t>
      </w:r>
      <w:r w:rsidR="00B15D47" w:rsidRPr="00D06131">
        <w:rPr>
          <w:b/>
          <w:highlight w:val="yellow"/>
          <w:lang w:val="en-GB"/>
        </w:rPr>
        <w:t xml:space="preserve"> (</w:t>
      </w:r>
      <w:r w:rsidR="005F185B" w:rsidRPr="00D06131">
        <w:rPr>
          <w:b/>
          <w:highlight w:val="yellow"/>
          <w:lang w:val="en-GB"/>
        </w:rPr>
        <w:t>e.g.,</w:t>
      </w:r>
      <w:r w:rsidR="00B15D47" w:rsidRPr="00D06131">
        <w:rPr>
          <w:b/>
          <w:highlight w:val="yellow"/>
          <w:lang w:val="en-GB"/>
        </w:rPr>
        <w:t xml:space="preserve"> </w:t>
      </w:r>
      <w:r w:rsidR="005672DE" w:rsidRPr="00D06131">
        <w:rPr>
          <w:b/>
          <w:highlight w:val="yellow"/>
          <w:lang w:val="en-GB"/>
        </w:rPr>
        <w:t>development cooperation)</w:t>
      </w:r>
      <w:r w:rsidRPr="005672DE">
        <w:rPr>
          <w:b/>
          <w:lang w:val="en-GB"/>
        </w:rPr>
        <w:t>. In</w:t>
      </w:r>
      <w:r w:rsidRPr="00E94510">
        <w:rPr>
          <w:b/>
          <w:lang w:val="en-GB"/>
        </w:rPr>
        <w:t xml:space="preserve"> some cases, like providing training facilities for local fishers and setting up a mechanism to employ these </w:t>
      </w:r>
      <w:r w:rsidR="00A52C9F" w:rsidRPr="00E94510">
        <w:rPr>
          <w:b/>
          <w:lang w:val="en-GB"/>
        </w:rPr>
        <w:t>well-trained</w:t>
      </w:r>
      <w:r w:rsidRPr="00E94510">
        <w:rPr>
          <w:b/>
          <w:lang w:val="en-GB"/>
        </w:rPr>
        <w:t xml:space="preserve"> fishers on board EU vessels, more efficient actions under sectoral support would benefit both local and EU vessel owners. </w:t>
      </w:r>
    </w:p>
    <w:p w14:paraId="111745DF" w14:textId="77777777" w:rsidR="00281246" w:rsidRPr="00E94510" w:rsidRDefault="00743AC7">
      <w:pPr>
        <w:widowControl w:val="0"/>
        <w:numPr>
          <w:ilvl w:val="0"/>
          <w:numId w:val="5"/>
        </w:numPr>
        <w:spacing w:after="240"/>
        <w:rPr>
          <w:b/>
          <w:lang w:val="en-GB"/>
        </w:rPr>
      </w:pPr>
      <w:r w:rsidRPr="00E94510">
        <w:rPr>
          <w:b/>
          <w:lang w:val="en-GB"/>
        </w:rPr>
        <w:t xml:space="preserve">The EU should increase efforts in cooperation with its partners to further promote decent work in the maritime sectors, such as the build-in of flag State measures under Article 94 of UNCLOS within SFPAs. Besides, the </w:t>
      </w:r>
      <w:r w:rsidRPr="00D06131">
        <w:rPr>
          <w:b/>
          <w:highlight w:val="yellow"/>
          <w:lang w:val="en-GB"/>
        </w:rPr>
        <w:t>implementation of the social clause of SFPAs should be given more consideration and should be better evaluated</w:t>
      </w:r>
      <w:r w:rsidRPr="00E94510">
        <w:rPr>
          <w:b/>
          <w:lang w:val="en-GB"/>
        </w:rPr>
        <w:t xml:space="preserve">. </w:t>
      </w:r>
    </w:p>
    <w:bookmarkEnd w:id="6"/>
    <w:p w14:paraId="44E023B9" w14:textId="77777777" w:rsidR="00281246" w:rsidRPr="00E94510" w:rsidRDefault="00743AC7">
      <w:pPr>
        <w:widowControl w:val="0"/>
        <w:rPr>
          <w:lang w:val="en-GB"/>
        </w:rPr>
      </w:pPr>
      <w:r w:rsidRPr="00E94510">
        <w:rPr>
          <w:b/>
          <w:lang w:val="en-GB"/>
        </w:rPr>
        <w:lastRenderedPageBreak/>
        <w:t>1.5 - Fisheries Subsidies</w:t>
      </w:r>
    </w:p>
    <w:p w14:paraId="65C75462" w14:textId="663D9C7C" w:rsidR="00281246" w:rsidRDefault="00743AC7">
      <w:pPr>
        <w:widowControl w:val="0"/>
        <w:rPr>
          <w:lang w:val="en-GB"/>
        </w:rPr>
      </w:pPr>
      <w:r w:rsidRPr="00E94510">
        <w:rPr>
          <w:lang w:val="en-GB"/>
        </w:rPr>
        <w:t>Global fisheries subsidies are estimated to range from EUR 11 billion to EUR 44 billion per year</w:t>
      </w:r>
      <w:r w:rsidRPr="00E94510">
        <w:rPr>
          <w:vertAlign w:val="superscript"/>
          <w:lang w:val="en-GB"/>
        </w:rPr>
        <w:footnoteReference w:id="60"/>
      </w:r>
      <w:r w:rsidRPr="00E94510">
        <w:rPr>
          <w:lang w:val="en-GB"/>
        </w:rPr>
        <w:t>. In the EU, the European Maritime and Fisheries Fund (EMFF</w:t>
      </w:r>
      <w:r w:rsidR="00EF1CD1">
        <w:rPr>
          <w:lang w:val="en-GB"/>
        </w:rPr>
        <w:t xml:space="preserve"> now EMFAF for </w:t>
      </w:r>
      <w:r w:rsidR="00EF1CD1" w:rsidRPr="00E94510">
        <w:rPr>
          <w:lang w:val="en-GB"/>
        </w:rPr>
        <w:t>European Maritime Fisheries and Aquaculture Fund</w:t>
      </w:r>
      <w:r w:rsidRPr="00E94510">
        <w:rPr>
          <w:lang w:val="en-GB"/>
        </w:rPr>
        <w:t>) is the fund for the EU’s maritime and fisheries policies. Over the period 2014-2020, the EMFF had an overall budget of EUR 6,4 billion notably designed to promote promoting competitive, environmentally sustainable, economically viable and socially responsible fisheries and fostering the implementation of the CFP without resulting in an increase in fishing capacity</w:t>
      </w:r>
      <w:r w:rsidRPr="00E94510">
        <w:rPr>
          <w:vertAlign w:val="superscript"/>
          <w:lang w:val="en-GB"/>
        </w:rPr>
        <w:footnoteReference w:id="61"/>
      </w:r>
      <w:r w:rsidRPr="00E94510">
        <w:rPr>
          <w:vertAlign w:val="superscript"/>
          <w:lang w:val="en-GB"/>
        </w:rPr>
        <w:t>,</w:t>
      </w:r>
      <w:r w:rsidRPr="00E94510">
        <w:rPr>
          <w:vertAlign w:val="superscript"/>
          <w:lang w:val="en-GB"/>
        </w:rPr>
        <w:footnoteReference w:id="62"/>
      </w:r>
      <w:r w:rsidRPr="00E94510">
        <w:rPr>
          <w:lang w:val="en-GB"/>
        </w:rPr>
        <w:t>. For the next long-term EU budget 2021-2027, the European Commission proposed a EUR 6.1 billion fund for European fisheries and the maritime economy</w:t>
      </w:r>
      <w:r w:rsidRPr="00E94510">
        <w:rPr>
          <w:vertAlign w:val="superscript"/>
          <w:lang w:val="en-GB"/>
        </w:rPr>
        <w:footnoteReference w:id="63"/>
      </w:r>
      <w:r w:rsidRPr="00E94510">
        <w:rPr>
          <w:lang w:val="en-GB"/>
        </w:rPr>
        <w:t>.</w:t>
      </w:r>
    </w:p>
    <w:p w14:paraId="2AFD2E30" w14:textId="3785C2AF" w:rsidR="00281246" w:rsidRPr="00E94510" w:rsidRDefault="00743AC7">
      <w:pPr>
        <w:widowControl w:val="0"/>
        <w:rPr>
          <w:lang w:val="en-GB"/>
        </w:rPr>
      </w:pPr>
      <w:r w:rsidRPr="00E94510">
        <w:rPr>
          <w:lang w:val="en-GB"/>
        </w:rPr>
        <w:t xml:space="preserve">A study prepared for the European Commission in 2016 identified that, outside the </w:t>
      </w:r>
      <w:r w:rsidRPr="00D06131">
        <w:rPr>
          <w:highlight w:val="yellow"/>
          <w:lang w:val="en-GB"/>
        </w:rPr>
        <w:t>EU, China, the US and South Korea have the highest absolute value of subsidies. In all three countries, over 95% of the subsidies are dedicated to the catching subsector</w:t>
      </w:r>
      <w:r w:rsidRPr="00E94510">
        <w:rPr>
          <w:vertAlign w:val="superscript"/>
          <w:lang w:val="en-GB"/>
        </w:rPr>
        <w:footnoteReference w:id="64"/>
      </w:r>
      <w:r w:rsidRPr="00E94510">
        <w:rPr>
          <w:lang w:val="en-GB"/>
        </w:rPr>
        <w:t>. Catching subsidies per tonne of catch were identified as highest in South Korea, the US and Japan. The study further identified that data reporting for subsidies value is generally poor.</w:t>
      </w:r>
    </w:p>
    <w:p w14:paraId="4DE1A135" w14:textId="77777777" w:rsidR="00281246" w:rsidRPr="00E94510" w:rsidRDefault="00743AC7">
      <w:pPr>
        <w:widowControl w:val="0"/>
        <w:rPr>
          <w:u w:val="single"/>
          <w:lang w:val="en-GB"/>
        </w:rPr>
      </w:pPr>
      <w:r w:rsidRPr="00E94510">
        <w:rPr>
          <w:lang w:val="en-GB"/>
        </w:rPr>
        <w:t xml:space="preserve">In line with SDG 14.6, </w:t>
      </w:r>
      <w:r w:rsidRPr="00F137C6">
        <w:rPr>
          <w:highlight w:val="yellow"/>
          <w:lang w:val="en-GB"/>
        </w:rPr>
        <w:t>the members of the World Trade Organization (WTO) were meant to have adopted by the end of 2020 an agreement on comprehensive and effective disciplines that prohibit certain forms of fisheries subsidies that contribute to overcapacity and overfishing, and eliminate subsidies that contribute to IUU fishing.</w:t>
      </w:r>
      <w:r w:rsidRPr="00E94510">
        <w:rPr>
          <w:lang w:val="en-GB"/>
        </w:rPr>
        <w:t xml:space="preserve"> Mid-December 2020, the WTO announced that its members missed the 2020 deadline but that they “aim to build on the momentum achieved [in 2020] during fisheries subsidies negotiations and forge an agreement early in 2021”</w:t>
      </w:r>
      <w:r w:rsidRPr="00E94510">
        <w:rPr>
          <w:vertAlign w:val="superscript"/>
          <w:lang w:val="en-GB"/>
        </w:rPr>
        <w:footnoteReference w:id="65"/>
      </w:r>
      <w:r w:rsidRPr="00E94510">
        <w:rPr>
          <w:lang w:val="en-GB"/>
        </w:rPr>
        <w:t>. The LDAC believes it is important that WTO members eventually meet their international commitments by concluding such an agreement in 2021.</w:t>
      </w:r>
    </w:p>
    <w:p w14:paraId="1F4A7FC8" w14:textId="77777777" w:rsidR="001F7172" w:rsidRDefault="001F7172">
      <w:pPr>
        <w:rPr>
          <w:u w:val="single"/>
          <w:lang w:val="en-GB"/>
        </w:rPr>
      </w:pPr>
    </w:p>
    <w:p w14:paraId="63F249D0" w14:textId="446CDC41" w:rsidR="00281246" w:rsidRPr="00E94510" w:rsidRDefault="00743AC7">
      <w:pPr>
        <w:rPr>
          <w:lang w:val="en-GB"/>
        </w:rPr>
      </w:pPr>
      <w:r w:rsidRPr="00E94510">
        <w:rPr>
          <w:u w:val="single"/>
          <w:lang w:val="en-GB"/>
        </w:rPr>
        <w:t>1.5.1 External level playing field</w:t>
      </w:r>
      <w:r w:rsidRPr="00E94510">
        <w:rPr>
          <w:lang w:val="en-GB"/>
        </w:rPr>
        <w:t>:</w:t>
      </w:r>
    </w:p>
    <w:p w14:paraId="6106AF6A" w14:textId="71EF6107" w:rsidR="00281246" w:rsidRPr="00E94510" w:rsidRDefault="00743AC7">
      <w:pPr>
        <w:rPr>
          <w:lang w:val="en-GB"/>
        </w:rPr>
      </w:pPr>
      <w:r w:rsidRPr="00E94510">
        <w:rPr>
          <w:lang w:val="en-GB"/>
        </w:rPr>
        <w:t>As highlighted in the European Commission’s White Paper on levelling the playing field as regards foreign subsidies</w:t>
      </w:r>
      <w:r w:rsidRPr="00E94510">
        <w:rPr>
          <w:vertAlign w:val="superscript"/>
          <w:lang w:val="en-GB"/>
        </w:rPr>
        <w:footnoteReference w:id="66"/>
      </w:r>
      <w:r w:rsidRPr="00E94510">
        <w:rPr>
          <w:lang w:val="en-GB"/>
        </w:rPr>
        <w:t xml:space="preserve">, “openness to trade and investment is part of the economy’s resilience, but it must go hand in hand with fairness and predictable rules”. </w:t>
      </w:r>
      <w:r w:rsidRPr="00F137C6">
        <w:rPr>
          <w:highlight w:val="yellow"/>
          <w:lang w:val="en-GB"/>
        </w:rPr>
        <w:t>Foreign subsidies can create market distortions and undermine the level playing field.</w:t>
      </w:r>
      <w:r w:rsidRPr="00E94510">
        <w:rPr>
          <w:lang w:val="en-GB"/>
        </w:rPr>
        <w:t xml:space="preserve"> They can also jeopardize our capacity to collectively meet the SDGs. Hence, the importance for WTO members to conclude, at the earliest, the negotiations aiming at forging an agreement on fisheries subsidies capable of delivering on SDG 14.6. In this context, and in view of the importance of protecting fish resources on which developing countries fishing communities depend for their livelihoods, </w:t>
      </w:r>
      <w:r w:rsidRPr="00F137C6">
        <w:rPr>
          <w:highlight w:val="yellow"/>
          <w:lang w:val="en-GB"/>
        </w:rPr>
        <w:t xml:space="preserve">special and differentiated </w:t>
      </w:r>
      <w:r w:rsidR="00924446" w:rsidRPr="00F137C6">
        <w:rPr>
          <w:highlight w:val="yellow"/>
          <w:lang w:val="en-GB"/>
        </w:rPr>
        <w:t xml:space="preserve">(S&amp;D) </w:t>
      </w:r>
      <w:r w:rsidRPr="00F137C6">
        <w:rPr>
          <w:highlight w:val="yellow"/>
          <w:lang w:val="en-GB"/>
        </w:rPr>
        <w:t>treatment needs to be appropriate and equitable,</w:t>
      </w:r>
      <w:r w:rsidRPr="00E94510">
        <w:rPr>
          <w:lang w:val="en-GB"/>
        </w:rPr>
        <w:t xml:space="preserve"> and must not undermine the discipline effectiveness. However, </w:t>
      </w:r>
      <w:r w:rsidRPr="00F137C6">
        <w:rPr>
          <w:highlight w:val="yellow"/>
          <w:lang w:val="en-GB"/>
        </w:rPr>
        <w:t>key prohibitions for certain subsidies should apply to all cases, in particular the elimination of subsidies which contribute to IUU fishing</w:t>
      </w:r>
      <w:r w:rsidRPr="00E94510">
        <w:rPr>
          <w:lang w:val="en-GB"/>
        </w:rPr>
        <w:t xml:space="preserve">. </w:t>
      </w:r>
    </w:p>
    <w:p w14:paraId="58846334" w14:textId="77777777" w:rsidR="00281246" w:rsidRPr="00E94510" w:rsidRDefault="00743AC7">
      <w:pPr>
        <w:rPr>
          <w:lang w:val="en-GB"/>
        </w:rPr>
      </w:pPr>
      <w:r w:rsidRPr="00E94510">
        <w:rPr>
          <w:lang w:val="en-GB"/>
        </w:rPr>
        <w:lastRenderedPageBreak/>
        <w:t xml:space="preserve">The generally poor reporting for foreign subsidies previously mentioned adds an extra layer of challenge. </w:t>
      </w:r>
      <w:r w:rsidRPr="00F137C6">
        <w:rPr>
          <w:highlight w:val="yellow"/>
          <w:lang w:val="en-GB"/>
        </w:rPr>
        <w:t>Global transparency on subsidies must be achieved but the LDAC agrees that this should not be overly burdensome nor increase complexity for developing countries with capacity constraints, especially LDCs. However, no country should be exempted from transparency-related requirements. As such, specific issues could be addressed under technical cooperation</w:t>
      </w:r>
      <w:r w:rsidRPr="00E94510">
        <w:rPr>
          <w:lang w:val="en-GB"/>
        </w:rPr>
        <w:t>.</w:t>
      </w:r>
    </w:p>
    <w:p w14:paraId="69DE98BB" w14:textId="1E3B765D" w:rsidR="00281246" w:rsidRPr="00E94510" w:rsidRDefault="00743AC7">
      <w:pPr>
        <w:widowControl w:val="0"/>
        <w:rPr>
          <w:lang w:val="en-GB"/>
        </w:rPr>
      </w:pPr>
      <w:r w:rsidRPr="00E94510">
        <w:rPr>
          <w:b/>
          <w:lang w:val="en-GB"/>
        </w:rPr>
        <w:t>Recommendations</w:t>
      </w:r>
      <w:r w:rsidRPr="00E94510">
        <w:rPr>
          <w:lang w:val="en-GB"/>
        </w:rPr>
        <w:t>:</w:t>
      </w:r>
    </w:p>
    <w:p w14:paraId="1B962BC8" w14:textId="77777777" w:rsidR="00281246" w:rsidRPr="00E94510" w:rsidRDefault="00743AC7">
      <w:pPr>
        <w:widowControl w:val="0"/>
        <w:rPr>
          <w:lang w:val="en-GB"/>
        </w:rPr>
      </w:pPr>
      <w:r w:rsidRPr="00E94510">
        <w:rPr>
          <w:lang w:val="en-GB"/>
        </w:rPr>
        <w:t>In view of the above, the LDAC would like to make the following recommendations to the European Commission, to:</w:t>
      </w:r>
    </w:p>
    <w:p w14:paraId="6B1A5612" w14:textId="56A1537B" w:rsidR="00281246" w:rsidRPr="00E94510" w:rsidRDefault="00743AC7">
      <w:pPr>
        <w:widowControl w:val="0"/>
        <w:numPr>
          <w:ilvl w:val="0"/>
          <w:numId w:val="1"/>
        </w:numPr>
        <w:rPr>
          <w:b/>
          <w:lang w:val="en-GB"/>
        </w:rPr>
      </w:pPr>
      <w:bookmarkStart w:id="7" w:name="_Hlk70618177"/>
      <w:r w:rsidRPr="00E94510">
        <w:rPr>
          <w:b/>
          <w:lang w:val="en-GB"/>
        </w:rPr>
        <w:t xml:space="preserve">Continue leading discussions in the WTO on finding, </w:t>
      </w:r>
      <w:r w:rsidR="00F56C4C">
        <w:rPr>
          <w:b/>
          <w:lang w:val="en-GB"/>
        </w:rPr>
        <w:t>as soon as possible</w:t>
      </w:r>
      <w:r w:rsidRPr="00E94510">
        <w:rPr>
          <w:b/>
          <w:lang w:val="en-GB"/>
        </w:rPr>
        <w:t xml:space="preserve"> in 2021, an agreement on fisheries subsidies capable of delivering on SDG 14.6.</w:t>
      </w:r>
    </w:p>
    <w:p w14:paraId="6C64D624" w14:textId="357B6FA5" w:rsidR="00281246" w:rsidRDefault="00743AC7">
      <w:pPr>
        <w:widowControl w:val="0"/>
        <w:numPr>
          <w:ilvl w:val="0"/>
          <w:numId w:val="1"/>
        </w:numPr>
        <w:rPr>
          <w:b/>
          <w:lang w:val="en-GB"/>
        </w:rPr>
      </w:pPr>
      <w:r w:rsidRPr="00E94510">
        <w:rPr>
          <w:b/>
          <w:lang w:val="en-GB"/>
        </w:rPr>
        <w:t xml:space="preserve">For developing countries to benefit from exemptions to ensure they can develop their local fisheries under </w:t>
      </w:r>
      <w:r w:rsidRPr="00F137C6">
        <w:rPr>
          <w:b/>
          <w:highlight w:val="yellow"/>
          <w:lang w:val="en-GB"/>
        </w:rPr>
        <w:t>S&amp;D treatment, the EU should support and encourage them to allocate public funds to initiatives that will increase their capacities to manage their fisheries sustainably (</w:t>
      </w:r>
      <w:r w:rsidR="00F56C4C" w:rsidRPr="00F137C6">
        <w:rPr>
          <w:b/>
          <w:highlight w:val="yellow"/>
          <w:lang w:val="en-GB"/>
        </w:rPr>
        <w:t xml:space="preserve">e.g. </w:t>
      </w:r>
      <w:r w:rsidRPr="00F137C6">
        <w:rPr>
          <w:b/>
          <w:highlight w:val="yellow"/>
          <w:lang w:val="en-GB"/>
        </w:rPr>
        <w:t>research, MCS) and maximise the social (</w:t>
      </w:r>
      <w:r w:rsidR="00F56C4C" w:rsidRPr="00F137C6">
        <w:rPr>
          <w:b/>
          <w:highlight w:val="yellow"/>
          <w:lang w:val="en-GB"/>
        </w:rPr>
        <w:t>e.g. c</w:t>
      </w:r>
      <w:r w:rsidRPr="00F137C6">
        <w:rPr>
          <w:b/>
          <w:highlight w:val="yellow"/>
          <w:lang w:val="en-GB"/>
        </w:rPr>
        <w:t>ontribution to job creation, food security) and economic benefits from their fisheries exploitations (</w:t>
      </w:r>
      <w:r w:rsidR="00F56C4C" w:rsidRPr="00F137C6">
        <w:rPr>
          <w:b/>
          <w:highlight w:val="yellow"/>
          <w:lang w:val="en-GB"/>
        </w:rPr>
        <w:t xml:space="preserve">e.g. </w:t>
      </w:r>
      <w:r w:rsidRPr="00F137C6">
        <w:rPr>
          <w:b/>
          <w:highlight w:val="yellow"/>
          <w:lang w:val="en-GB"/>
        </w:rPr>
        <w:t>landing infrastructure, basic services in coastal areas</w:t>
      </w:r>
      <w:r w:rsidRPr="00E94510">
        <w:rPr>
          <w:b/>
          <w:lang w:val="en-GB"/>
        </w:rPr>
        <w:t xml:space="preserve">, etc). In that context, the EU should insist that a condition to be respected is the necessity for developing countries to have a management plan to ensure sustainable levels of exploitation of the resources prior to providing any type of capacity enhancing subsidies under S&amp;D treatment. </w:t>
      </w:r>
    </w:p>
    <w:p w14:paraId="2955DEE7" w14:textId="2CA0EF45" w:rsidR="005A442C" w:rsidRPr="005672DE" w:rsidRDefault="00D42377">
      <w:pPr>
        <w:widowControl w:val="0"/>
        <w:numPr>
          <w:ilvl w:val="0"/>
          <w:numId w:val="1"/>
        </w:numPr>
        <w:rPr>
          <w:b/>
          <w:lang w:val="en-GB"/>
        </w:rPr>
      </w:pPr>
      <w:r w:rsidRPr="005672DE">
        <w:rPr>
          <w:b/>
          <w:lang w:val="en-GB"/>
        </w:rPr>
        <w:t>Ensure that the agreement reached</w:t>
      </w:r>
      <w:r w:rsidR="002569AE" w:rsidRPr="005672DE">
        <w:rPr>
          <w:b/>
          <w:lang w:val="en-GB"/>
        </w:rPr>
        <w:t xml:space="preserve"> guarantee that no</w:t>
      </w:r>
      <w:r w:rsidRPr="005672DE">
        <w:rPr>
          <w:b/>
          <w:lang w:val="en-GB"/>
        </w:rPr>
        <w:t xml:space="preserve"> government</w:t>
      </w:r>
      <w:r w:rsidR="002569AE" w:rsidRPr="005672DE">
        <w:rPr>
          <w:b/>
          <w:lang w:val="en-GB"/>
        </w:rPr>
        <w:t xml:space="preserve">s can </w:t>
      </w:r>
      <w:r w:rsidRPr="005672DE">
        <w:rPr>
          <w:b/>
          <w:lang w:val="en-GB"/>
        </w:rPr>
        <w:t>grant or maintain any subsid</w:t>
      </w:r>
      <w:r w:rsidR="002569AE" w:rsidRPr="005672DE">
        <w:rPr>
          <w:b/>
          <w:lang w:val="en-GB"/>
        </w:rPr>
        <w:t>ies</w:t>
      </w:r>
      <w:r w:rsidRPr="005672DE">
        <w:rPr>
          <w:b/>
          <w:lang w:val="en-GB"/>
        </w:rPr>
        <w:t xml:space="preserve"> to vessels and operators engaged in IUU fishing.</w:t>
      </w:r>
    </w:p>
    <w:p w14:paraId="7378089A" w14:textId="77777777" w:rsidR="00281246" w:rsidRPr="00E94510" w:rsidRDefault="00743AC7">
      <w:pPr>
        <w:widowControl w:val="0"/>
        <w:numPr>
          <w:ilvl w:val="0"/>
          <w:numId w:val="1"/>
        </w:numPr>
        <w:rPr>
          <w:b/>
          <w:lang w:val="en-GB"/>
        </w:rPr>
      </w:pPr>
      <w:r w:rsidRPr="00E94510">
        <w:rPr>
          <w:b/>
          <w:lang w:val="en-GB"/>
        </w:rPr>
        <w:t xml:space="preserve">Strive to achieve </w:t>
      </w:r>
      <w:r w:rsidRPr="00F137C6">
        <w:rPr>
          <w:b/>
          <w:highlight w:val="yellow"/>
          <w:lang w:val="en-GB"/>
        </w:rPr>
        <w:t>improved transparency on subsidies disbursed globally</w:t>
      </w:r>
      <w:r w:rsidRPr="00E94510">
        <w:rPr>
          <w:b/>
          <w:lang w:val="en-GB"/>
        </w:rPr>
        <w:t xml:space="preserve"> (including programme name, legal basis and granting authority, level of support, type of activity supported and objective, and identity of the recipient). All relevant information should be compiled in an open and user-friendly database or IT platform. In this context, use the EU funding system in international fora as an example, particularly in terms of reporting and transparency.</w:t>
      </w:r>
    </w:p>
    <w:p w14:paraId="5EEF00F1" w14:textId="77777777" w:rsidR="00281246" w:rsidRPr="00E94510" w:rsidRDefault="00743AC7">
      <w:pPr>
        <w:widowControl w:val="0"/>
        <w:numPr>
          <w:ilvl w:val="0"/>
          <w:numId w:val="1"/>
        </w:numPr>
        <w:rPr>
          <w:b/>
          <w:lang w:val="en-GB"/>
        </w:rPr>
      </w:pPr>
      <w:r w:rsidRPr="00E94510">
        <w:rPr>
          <w:b/>
          <w:lang w:val="en-GB"/>
        </w:rPr>
        <w:t>Give fisheries adequate attention in the formulation of the future legislative initiative on foreign subsidies (‘levelling the playing field’)</w:t>
      </w:r>
      <w:r w:rsidRPr="00E94510">
        <w:rPr>
          <w:b/>
          <w:vertAlign w:val="superscript"/>
          <w:lang w:val="en-GB"/>
        </w:rPr>
        <w:footnoteReference w:id="67"/>
      </w:r>
      <w:r w:rsidRPr="00E94510">
        <w:rPr>
          <w:b/>
          <w:lang w:val="en-GB"/>
        </w:rPr>
        <w:t>. In this context, develop tools that will allow to detect and address possible distortions caused by foreign subsidies and contribute to effectively meeting SDG 14.6 globally.</w:t>
      </w:r>
    </w:p>
    <w:bookmarkEnd w:id="7"/>
    <w:p w14:paraId="0E2CAD35" w14:textId="77777777" w:rsidR="00B12261" w:rsidRDefault="00B12261">
      <w:pPr>
        <w:rPr>
          <w:u w:val="single"/>
          <w:lang w:val="en-GB"/>
        </w:rPr>
      </w:pPr>
    </w:p>
    <w:p w14:paraId="12040747" w14:textId="24EC0947" w:rsidR="00281246" w:rsidRPr="00E94510" w:rsidRDefault="00743AC7">
      <w:pPr>
        <w:rPr>
          <w:lang w:val="en-GB"/>
        </w:rPr>
      </w:pPr>
      <w:r w:rsidRPr="00E94510">
        <w:rPr>
          <w:u w:val="single"/>
          <w:lang w:val="en-GB"/>
        </w:rPr>
        <w:t>1.5.2. Internal level playing field</w:t>
      </w:r>
      <w:r w:rsidRPr="00E94510">
        <w:rPr>
          <w:lang w:val="en-GB"/>
        </w:rPr>
        <w:t>:</w:t>
      </w:r>
    </w:p>
    <w:p w14:paraId="3F97ED95" w14:textId="5B22DDA6" w:rsidR="00281246" w:rsidRPr="00E94510" w:rsidRDefault="00743AC7">
      <w:pPr>
        <w:rPr>
          <w:lang w:val="en-GB"/>
        </w:rPr>
      </w:pPr>
      <w:r w:rsidRPr="00E94510">
        <w:rPr>
          <w:lang w:val="en-GB"/>
        </w:rPr>
        <w:t>As we enter the next Multiannual Financial Framework (MFF 2021-2017) and new European Maritime Fisheries and Aquaculture Fund (EMFAF 2021-2027) timeframe, it is essential that their implementation, and particular</w:t>
      </w:r>
      <w:r w:rsidR="00DD3E91">
        <w:rPr>
          <w:lang w:val="en-GB"/>
        </w:rPr>
        <w:t>ly</w:t>
      </w:r>
      <w:r w:rsidRPr="00E94510">
        <w:rPr>
          <w:lang w:val="en-GB"/>
        </w:rPr>
        <w:t xml:space="preserve"> that of EMFAF, align with the Union's international commitments in the field of ocean governance, especially in the context of the 2030 Agenda for Sustainable Development.</w:t>
      </w:r>
    </w:p>
    <w:p w14:paraId="42824F36" w14:textId="77777777" w:rsidR="00281246" w:rsidRPr="00E94510" w:rsidRDefault="00743AC7">
      <w:pPr>
        <w:widowControl w:val="0"/>
        <w:rPr>
          <w:lang w:val="en-GB"/>
        </w:rPr>
      </w:pPr>
      <w:r w:rsidRPr="00E94510">
        <w:rPr>
          <w:b/>
          <w:lang w:val="en-GB"/>
        </w:rPr>
        <w:lastRenderedPageBreak/>
        <w:t>Recommendations</w:t>
      </w:r>
      <w:r w:rsidRPr="00E94510">
        <w:rPr>
          <w:lang w:val="en-GB"/>
        </w:rPr>
        <w:t>:</w:t>
      </w:r>
    </w:p>
    <w:p w14:paraId="1C259B8B" w14:textId="77777777" w:rsidR="00281246" w:rsidRPr="00E94510" w:rsidRDefault="00743AC7">
      <w:pPr>
        <w:widowControl w:val="0"/>
        <w:rPr>
          <w:b/>
          <w:lang w:val="en-GB"/>
        </w:rPr>
      </w:pPr>
      <w:r w:rsidRPr="00E94510">
        <w:rPr>
          <w:lang w:val="en-GB"/>
        </w:rPr>
        <w:t>In view of the above, the LDAC would like to make the following recommendations to the European Commission, to:</w:t>
      </w:r>
    </w:p>
    <w:p w14:paraId="69CCDD90" w14:textId="77777777" w:rsidR="00281246" w:rsidRPr="00E94510" w:rsidRDefault="00743AC7">
      <w:pPr>
        <w:widowControl w:val="0"/>
        <w:numPr>
          <w:ilvl w:val="0"/>
          <w:numId w:val="10"/>
        </w:numPr>
        <w:rPr>
          <w:b/>
          <w:lang w:val="en-GB"/>
        </w:rPr>
      </w:pPr>
      <w:bookmarkStart w:id="8" w:name="_Hlk70618190"/>
      <w:r w:rsidRPr="00E94510">
        <w:rPr>
          <w:b/>
          <w:lang w:val="en-GB"/>
        </w:rPr>
        <w:t xml:space="preserve">Ensure the </w:t>
      </w:r>
      <w:r w:rsidRPr="00F137C6">
        <w:rPr>
          <w:b/>
          <w:highlight w:val="yellow"/>
          <w:lang w:val="en-GB"/>
        </w:rPr>
        <w:t>consistency of the fisheries subsidies-related policies adopted at home with applicable strengthened international rules and other Union’s policies, especially environmental, climate, cohesion, social, market and trade policies</w:t>
      </w:r>
      <w:r w:rsidRPr="00E94510">
        <w:rPr>
          <w:b/>
          <w:lang w:val="en-GB"/>
        </w:rPr>
        <w:t>.</w:t>
      </w:r>
    </w:p>
    <w:p w14:paraId="735CD4BF" w14:textId="77777777" w:rsidR="00281246" w:rsidRPr="00E94510" w:rsidRDefault="00743AC7">
      <w:pPr>
        <w:widowControl w:val="0"/>
        <w:numPr>
          <w:ilvl w:val="0"/>
          <w:numId w:val="10"/>
        </w:numPr>
        <w:rPr>
          <w:b/>
          <w:lang w:val="en-GB"/>
        </w:rPr>
      </w:pPr>
      <w:r w:rsidRPr="00E94510">
        <w:rPr>
          <w:b/>
          <w:lang w:val="en-GB"/>
        </w:rPr>
        <w:t>Secure that access to funds is effectively conditional upon the compliance of Member States and operators with the admissibility and eligibility conditions of the CFP, in particular those relating to budgetary control obligations and the rules against IUU fishing.</w:t>
      </w:r>
    </w:p>
    <w:p w14:paraId="1BDE2845" w14:textId="77777777" w:rsidR="00B12261" w:rsidRDefault="00B12261">
      <w:pPr>
        <w:widowControl w:val="0"/>
        <w:rPr>
          <w:b/>
          <w:lang w:val="en-GB"/>
        </w:rPr>
      </w:pPr>
      <w:bookmarkStart w:id="9" w:name="_p00pxovp6bxg" w:colFirst="0" w:colLast="0"/>
      <w:bookmarkEnd w:id="8"/>
      <w:bookmarkEnd w:id="9"/>
    </w:p>
    <w:p w14:paraId="4B5A91C1" w14:textId="6EB7CA70" w:rsidR="00281246" w:rsidRPr="00E94510" w:rsidRDefault="00743AC7">
      <w:pPr>
        <w:widowControl w:val="0"/>
        <w:rPr>
          <w:b/>
          <w:color w:val="1F497D"/>
          <w:highlight w:val="yellow"/>
          <w:lang w:val="en-GB"/>
        </w:rPr>
      </w:pPr>
      <w:r w:rsidRPr="00E94510">
        <w:rPr>
          <w:b/>
          <w:lang w:val="en-GB"/>
        </w:rPr>
        <w:t>1.6 - Regional Fisheries Management Organisations and Arrangements (RFMO/As)</w:t>
      </w:r>
      <w:r w:rsidRPr="00E94510">
        <w:rPr>
          <w:b/>
          <w:color w:val="1F497D"/>
          <w:highlight w:val="yellow"/>
          <w:lang w:val="en-GB"/>
        </w:rPr>
        <w:t xml:space="preserve">  </w:t>
      </w:r>
    </w:p>
    <w:p w14:paraId="6C968861" w14:textId="77777777" w:rsidR="00281246" w:rsidRPr="00E94510" w:rsidRDefault="00743AC7">
      <w:pPr>
        <w:widowControl w:val="0"/>
        <w:rPr>
          <w:lang w:val="en-GB"/>
        </w:rPr>
      </w:pPr>
      <w:r w:rsidRPr="00E94510">
        <w:rPr>
          <w:lang w:val="en-GB"/>
        </w:rPr>
        <w:t xml:space="preserve">An extensive regulatory framework has been developed in the last decades stemming from both the EU and international organisations such as the UN and FAO to promote a level playing field in the field of sustainable use of fisheries’ resources including fight against destructive practices such as IUU fishing. In order to guarantee compliance with the international norms, and further regulate the use of marine and fishing resources within certain areas, international bodies such as the Regional Fisheries Management Organizations (RFMOs) and other arrangements such as the Regional Seas Conventions (RSC) or multilateral organisations were created. </w:t>
      </w:r>
    </w:p>
    <w:p w14:paraId="65FAE753" w14:textId="77777777" w:rsidR="00281246" w:rsidRPr="00E94510" w:rsidRDefault="00743AC7">
      <w:pPr>
        <w:widowControl w:val="0"/>
        <w:rPr>
          <w:lang w:val="en-GB"/>
        </w:rPr>
      </w:pPr>
      <w:r w:rsidRPr="00F137C6">
        <w:rPr>
          <w:highlight w:val="yellow"/>
          <w:lang w:val="en-GB"/>
        </w:rPr>
        <w:t>RFMOs have powers to adopt binding legislative measures for the Parties</w:t>
      </w:r>
      <w:r w:rsidRPr="00E94510">
        <w:rPr>
          <w:lang w:val="en-GB"/>
        </w:rPr>
        <w:t xml:space="preserve"> (both ‘Contracting’ and to a lesser extent ‘Non-Contracting’ ones) to the </w:t>
      </w:r>
      <w:r w:rsidRPr="00F137C6">
        <w:rPr>
          <w:highlight w:val="yellow"/>
          <w:lang w:val="en-GB"/>
        </w:rPr>
        <w:t>organisation in the field of conservation and management measures (CMMs) dealing with fisheries stocks within their geographical and/or material scope</w:t>
      </w:r>
      <w:r w:rsidRPr="00E94510">
        <w:rPr>
          <w:lang w:val="en-GB"/>
        </w:rPr>
        <w:t>. An ecosystem approach to fisheries has also been developed in recent years to look at the trade-offs and interactions between fish stocks dynamics and habitats features with a view to protect biodiversity and prevent overfishing.</w:t>
      </w:r>
    </w:p>
    <w:p w14:paraId="65893F2E" w14:textId="708AE5A1" w:rsidR="00281246" w:rsidRPr="00E94510" w:rsidRDefault="00743AC7">
      <w:pPr>
        <w:widowControl w:val="0"/>
        <w:rPr>
          <w:lang w:val="en-GB"/>
        </w:rPr>
      </w:pPr>
      <w:r w:rsidRPr="00E94510">
        <w:rPr>
          <w:lang w:val="en-GB"/>
        </w:rPr>
        <w:t xml:space="preserve">However, RFMOs still present important shortcomings in the adoption and implementation of effective measures relying heavily on </w:t>
      </w:r>
      <w:r w:rsidR="00A52C9F" w:rsidRPr="00F137C6">
        <w:rPr>
          <w:highlight w:val="yellow"/>
          <w:lang w:val="en-GB"/>
        </w:rPr>
        <w:t>consensus-based</w:t>
      </w:r>
      <w:r w:rsidRPr="00F137C6">
        <w:rPr>
          <w:highlight w:val="yellow"/>
          <w:lang w:val="en-GB"/>
        </w:rPr>
        <w:t xml:space="preserve"> decisions and therefore political will from flag, coastal, port and market states</w:t>
      </w:r>
      <w:r w:rsidRPr="00E94510">
        <w:rPr>
          <w:lang w:val="en-GB"/>
        </w:rPr>
        <w:t>. Some of these shortcomings have been identified in several studies and performance reviews</w:t>
      </w:r>
      <w:r w:rsidRPr="00E94510">
        <w:rPr>
          <w:vertAlign w:val="superscript"/>
          <w:lang w:val="en-GB"/>
        </w:rPr>
        <w:footnoteReference w:id="68"/>
      </w:r>
      <w:r w:rsidRPr="00E94510">
        <w:rPr>
          <w:lang w:val="en-GB"/>
        </w:rPr>
        <w:t>. In this respect, it must be noted that RFMOs are the only international organisations which are regularly subject to regular performance reviews (</w:t>
      </w:r>
      <w:r w:rsidR="005F185B" w:rsidRPr="00E94510">
        <w:rPr>
          <w:lang w:val="en-GB"/>
        </w:rPr>
        <w:t>e.g.,</w:t>
      </w:r>
      <w:r w:rsidRPr="00E94510">
        <w:rPr>
          <w:lang w:val="en-GB"/>
        </w:rPr>
        <w:t xml:space="preserve"> NAFO or IATTC have already gone through this process twice in the last 10 years) with the aim to address the shortcomings and adopt remedial measures within their multi annual strategic work plans through measurable indicators. </w:t>
      </w:r>
    </w:p>
    <w:p w14:paraId="5D49B45B" w14:textId="7C532B6E" w:rsidR="00281246" w:rsidRPr="00E94510" w:rsidRDefault="00743AC7">
      <w:pPr>
        <w:widowControl w:val="0"/>
        <w:rPr>
          <w:lang w:val="en-GB"/>
        </w:rPr>
      </w:pPr>
      <w:r w:rsidRPr="00E94510">
        <w:rPr>
          <w:lang w:val="en-GB"/>
        </w:rPr>
        <w:t xml:space="preserve">In terms of science, the LDAC acknowledges that EU proposals to RFMOs are based on robust and reliable scientific data. In the contrary, </w:t>
      </w:r>
      <w:r w:rsidRPr="00F137C6">
        <w:rPr>
          <w:highlight w:val="yellow"/>
          <w:lang w:val="en-GB"/>
        </w:rPr>
        <w:t xml:space="preserve">data deficiencies and misreporting are most commonly found in those areas where there is an absence of an RFMO, such as those demersal and small pelagic fisheries in West African; or hake and squid fisheries caught by </w:t>
      </w:r>
      <w:r w:rsidR="00A52C9F" w:rsidRPr="00F137C6">
        <w:rPr>
          <w:highlight w:val="yellow"/>
          <w:lang w:val="en-GB"/>
        </w:rPr>
        <w:t>non-EU</w:t>
      </w:r>
      <w:r w:rsidRPr="00F137C6">
        <w:rPr>
          <w:highlight w:val="yellow"/>
          <w:lang w:val="en-GB"/>
        </w:rPr>
        <w:t xml:space="preserve"> fleets in the Southwest Atlantic</w:t>
      </w:r>
      <w:r w:rsidRPr="00E94510">
        <w:rPr>
          <w:lang w:val="en-GB"/>
        </w:rPr>
        <w:t xml:space="preserve"> (FAO 41).  </w:t>
      </w:r>
    </w:p>
    <w:p w14:paraId="79AD1B05" w14:textId="77777777" w:rsidR="00B12261" w:rsidRDefault="00B12261">
      <w:pPr>
        <w:widowControl w:val="0"/>
        <w:rPr>
          <w:lang w:val="en-GB"/>
        </w:rPr>
      </w:pPr>
    </w:p>
    <w:p w14:paraId="6F98EF6E" w14:textId="4EC5146B" w:rsidR="00281246" w:rsidRPr="00E94510" w:rsidRDefault="00743AC7">
      <w:pPr>
        <w:widowControl w:val="0"/>
        <w:rPr>
          <w:lang w:val="en-GB"/>
        </w:rPr>
      </w:pPr>
      <w:r w:rsidRPr="00E94510">
        <w:rPr>
          <w:lang w:val="en-GB"/>
        </w:rPr>
        <w:t xml:space="preserve">In terms of MCS, all RFMOs count within their governing structure permanent control and compliance committees analysing breach of action or infringements by vessels – and are able to ask for liability or redress to their flag states which are Contracting Parties. As highlighted by most of the relevant RFMOs committees MCS/compliance-related data reporting (including on infringements) and implementation </w:t>
      </w:r>
      <w:r w:rsidR="00A52C9F" w:rsidRPr="00E94510">
        <w:rPr>
          <w:lang w:val="en-GB"/>
        </w:rPr>
        <w:t>of applicable</w:t>
      </w:r>
      <w:r w:rsidRPr="00E94510">
        <w:rPr>
          <w:lang w:val="en-GB"/>
        </w:rPr>
        <w:t xml:space="preserve"> CMMs in this area remain perfectible and are uneven amongst RFMOs Parties. This also applies to justifications provided at the relevant committees. This uneven level of implementation of existing obligations</w:t>
      </w:r>
      <w:r w:rsidRPr="00E94510">
        <w:rPr>
          <w:vertAlign w:val="superscript"/>
          <w:lang w:val="en-GB"/>
        </w:rPr>
        <w:footnoteReference w:id="69"/>
      </w:r>
      <w:r w:rsidRPr="00E94510">
        <w:rPr>
          <w:lang w:val="en-GB"/>
        </w:rPr>
        <w:t xml:space="preserve"> is therefore susceptible to directly undermine the effectiveness of adopted CMMs.</w:t>
      </w:r>
    </w:p>
    <w:p w14:paraId="59265023" w14:textId="77777777" w:rsidR="00281246" w:rsidRPr="00E94510" w:rsidRDefault="00743AC7">
      <w:pPr>
        <w:widowControl w:val="0"/>
        <w:rPr>
          <w:lang w:val="en-GB"/>
        </w:rPr>
      </w:pPr>
      <w:r w:rsidRPr="00F47BB9">
        <w:rPr>
          <w:highlight w:val="yellow"/>
          <w:lang w:val="en-GB"/>
        </w:rPr>
        <w:t>In terms of transparency and participation of different actors, RFMOs are generally an example of good governance as they ensure adequate and meaningful participation not only of their Parties but also of non-Parties and registered observers</w:t>
      </w:r>
      <w:r w:rsidRPr="00E94510">
        <w:rPr>
          <w:lang w:val="en-GB"/>
        </w:rPr>
        <w:t>, including key fisheries stakeholders (sector and NGOs). This requires effective consultation procedures and informal technical coordination meetings, open access to information and transparency in deliberations in plenary annual meetings for issues not subjected to confidentiality.</w:t>
      </w:r>
    </w:p>
    <w:p w14:paraId="2DDD2E40" w14:textId="77777777" w:rsidR="00281246" w:rsidRPr="00E94510" w:rsidRDefault="00743AC7">
      <w:pPr>
        <w:widowControl w:val="0"/>
        <w:rPr>
          <w:color w:val="548DD4"/>
          <w:lang w:val="en-GB"/>
        </w:rPr>
      </w:pPr>
      <w:r w:rsidRPr="00F47BB9">
        <w:rPr>
          <w:highlight w:val="yellow"/>
          <w:lang w:val="en-GB"/>
        </w:rPr>
        <w:t>The main challenge for achieving a sustainable use of marine resources worldwide in the future is directly linked to the importance of further strengthening an effective and verifiable level playing field: if economic actors and states do not comply with the same basic rules, sustainability in its three dimensions cannot be achieved – fisheries will not be neither environmentally sustainable, economically viable, nor socially equitable</w:t>
      </w:r>
      <w:r w:rsidRPr="00E94510">
        <w:rPr>
          <w:lang w:val="en-GB"/>
        </w:rPr>
        <w:t>. Thus, checks and balances within RFMO constituent bodies coupled with effective monitoring, compliance and sanctioning mechanisms within the already existing international framework must be reinforced.</w:t>
      </w:r>
    </w:p>
    <w:p w14:paraId="1944176F" w14:textId="77777777" w:rsidR="00281246" w:rsidRPr="00E94510" w:rsidRDefault="00743AC7">
      <w:pPr>
        <w:widowControl w:val="0"/>
        <w:spacing w:after="160"/>
        <w:rPr>
          <w:lang w:val="en-GB"/>
        </w:rPr>
      </w:pPr>
      <w:r w:rsidRPr="00E94510">
        <w:rPr>
          <w:lang w:val="en-GB"/>
        </w:rPr>
        <w:t>The LDAC supports the opening statement made by the European Union on its contribution to the UNGA ICSP-14 that “</w:t>
      </w:r>
      <w:r w:rsidRPr="00E94510">
        <w:rPr>
          <w:i/>
          <w:lang w:val="en-GB"/>
        </w:rPr>
        <w:t>the RFMO</w:t>
      </w:r>
      <w:r w:rsidRPr="00E94510">
        <w:rPr>
          <w:lang w:val="en-GB"/>
        </w:rPr>
        <w:t xml:space="preserve">/As </w:t>
      </w:r>
      <w:r w:rsidRPr="00E94510">
        <w:rPr>
          <w:i/>
          <w:lang w:val="en-GB"/>
        </w:rPr>
        <w:t>are key instruments to ensure the states can meet their obligations under international law regarding cooperation for the conservation and sustainable management of shared stocks. In this regard, RFMO/As are an essential part of the international legal architecture to ensure the long-term conservation and sustainable management of highly migratory and straddling fish stocks as well as associated and dependent species</w:t>
      </w:r>
      <w:r w:rsidRPr="00E94510">
        <w:rPr>
          <w:lang w:val="en-GB"/>
        </w:rPr>
        <w:t>”.</w:t>
      </w:r>
    </w:p>
    <w:p w14:paraId="6443AA0E" w14:textId="77777777" w:rsidR="00281246" w:rsidRPr="00E94510" w:rsidRDefault="00743AC7">
      <w:pPr>
        <w:widowControl w:val="0"/>
        <w:rPr>
          <w:lang w:val="en-GB"/>
        </w:rPr>
      </w:pPr>
      <w:r w:rsidRPr="00E94510">
        <w:rPr>
          <w:lang w:val="en-GB"/>
        </w:rPr>
        <w:t xml:space="preserve">For those areas where RFMOs do not exist, the EU is encouraged to continue promoting the constitution of new RFMOs or other regional arrangements, in particular for managing sustainably shared stocks like the small pelagic and demersal stocks in West Africa; the Arctic; or the Southwest Atlantic; amongst others. </w:t>
      </w:r>
    </w:p>
    <w:p w14:paraId="12DFC5C9" w14:textId="7CEF3A79" w:rsidR="00281246" w:rsidRPr="00E94510" w:rsidRDefault="00743AC7">
      <w:pPr>
        <w:widowControl w:val="0"/>
        <w:rPr>
          <w:lang w:val="en-GB"/>
        </w:rPr>
      </w:pPr>
      <w:r w:rsidRPr="00F47BB9">
        <w:rPr>
          <w:highlight w:val="yellow"/>
          <w:lang w:val="en-GB"/>
        </w:rPr>
        <w:t>In relation to West African small pelagic fisheries both in high seas and within the EEZs of coastal states, the LDAC acknowledges the publication of the EU in 2021 of a study on analysing the legal and financial constraints and challenges for turning CECAF into an RFMO</w:t>
      </w:r>
      <w:r w:rsidRPr="00E94510">
        <w:rPr>
          <w:lang w:val="en-GB"/>
        </w:rPr>
        <w:t xml:space="preserve">. In this sense, an adequate governance framework with a list of competencies and a solid organisational structure is desirable. An example in this field is the </w:t>
      </w:r>
      <w:r w:rsidR="000A7FCD">
        <w:rPr>
          <w:lang w:val="en-GB"/>
        </w:rPr>
        <w:t>ATLAFCO/</w:t>
      </w:r>
      <w:r w:rsidRPr="00E94510">
        <w:rPr>
          <w:lang w:val="en-GB"/>
        </w:rPr>
        <w:t>COMHAFAT study and report published in 2020</w:t>
      </w:r>
      <w:r w:rsidRPr="00E94510">
        <w:rPr>
          <w:vertAlign w:val="superscript"/>
          <w:lang w:val="en-GB"/>
        </w:rPr>
        <w:footnoteReference w:id="70"/>
      </w:r>
      <w:r w:rsidRPr="00E94510">
        <w:rPr>
          <w:lang w:val="en-GB"/>
        </w:rPr>
        <w:t>.</w:t>
      </w:r>
    </w:p>
    <w:p w14:paraId="2DB37CAC" w14:textId="28A91ABD" w:rsidR="00281246" w:rsidRPr="00E94510" w:rsidRDefault="00743AC7">
      <w:pPr>
        <w:widowControl w:val="0"/>
        <w:rPr>
          <w:lang w:val="en-GB"/>
        </w:rPr>
      </w:pPr>
      <w:r w:rsidRPr="00E94510">
        <w:rPr>
          <w:lang w:val="en-GB"/>
        </w:rPr>
        <w:lastRenderedPageBreak/>
        <w:t xml:space="preserve">For the Southwest Atlantic, the present political tensions and disputes between Argentina and </w:t>
      </w:r>
      <w:r w:rsidR="000A7FCD">
        <w:rPr>
          <w:lang w:val="en-GB"/>
        </w:rPr>
        <w:t xml:space="preserve">the </w:t>
      </w:r>
      <w:r w:rsidRPr="00E94510">
        <w:rPr>
          <w:lang w:val="en-GB"/>
        </w:rPr>
        <w:t>U</w:t>
      </w:r>
      <w:r w:rsidR="000A7FCD">
        <w:rPr>
          <w:lang w:val="en-GB"/>
        </w:rPr>
        <w:t xml:space="preserve">nited </w:t>
      </w:r>
      <w:r w:rsidRPr="00E94510">
        <w:rPr>
          <w:lang w:val="en-GB"/>
        </w:rPr>
        <w:t>K</w:t>
      </w:r>
      <w:r w:rsidR="000A7FCD">
        <w:rPr>
          <w:lang w:val="en-GB"/>
        </w:rPr>
        <w:t>ingdom</w:t>
      </w:r>
      <w:r w:rsidRPr="00E94510">
        <w:rPr>
          <w:lang w:val="en-GB"/>
        </w:rPr>
        <w:t xml:space="preserve"> over sovereignty around Falklands/Malvinas, invite to think on looking for interim alternative arrangements such as the revamping of the South Atlantic Fisheries Commission (SAFC), an existing forum created to exchange information on marine living resources, and for the discussion and implementation of measures to improve conservation of commercial fish stocks in the area. </w:t>
      </w:r>
    </w:p>
    <w:p w14:paraId="59C2A55B" w14:textId="257936CD" w:rsidR="00281246" w:rsidRPr="00E94510" w:rsidRDefault="00743AC7">
      <w:pPr>
        <w:widowControl w:val="0"/>
        <w:spacing w:after="160"/>
        <w:rPr>
          <w:b/>
          <w:lang w:val="en-GB"/>
        </w:rPr>
      </w:pPr>
      <w:r w:rsidRPr="00E94510">
        <w:rPr>
          <w:lang w:val="en-GB"/>
        </w:rPr>
        <w:t>The LDAC issued advice in December 2018</w:t>
      </w:r>
      <w:r w:rsidRPr="00E94510">
        <w:rPr>
          <w:vertAlign w:val="superscript"/>
          <w:lang w:val="en-GB"/>
        </w:rPr>
        <w:footnoteReference w:id="71"/>
      </w:r>
      <w:r w:rsidRPr="00E94510">
        <w:rPr>
          <w:color w:val="548DD4"/>
          <w:lang w:val="en-GB"/>
        </w:rPr>
        <w:t xml:space="preserve"> </w:t>
      </w:r>
      <w:r w:rsidRPr="00E94510">
        <w:rPr>
          <w:lang w:val="en-GB"/>
        </w:rPr>
        <w:t>containing a number of recommendations linked to the performance and functioning of the RFMOs in line with the mandate given by UNCLOS and developed by UNFSA. It also included recommendations relevant to establishing a level playing field</w:t>
      </w:r>
      <w:r w:rsidR="00397DA1">
        <w:rPr>
          <w:rStyle w:val="FootnoteReference"/>
          <w:lang w:val="en-GB"/>
        </w:rPr>
        <w:footnoteReference w:id="72"/>
      </w:r>
      <w:r w:rsidRPr="00E94510">
        <w:rPr>
          <w:lang w:val="en-GB"/>
        </w:rPr>
        <w:t xml:space="preserve">. </w:t>
      </w:r>
    </w:p>
    <w:p w14:paraId="7495C8CB" w14:textId="77777777" w:rsidR="00B12261" w:rsidRDefault="00B12261">
      <w:pPr>
        <w:widowControl w:val="0"/>
        <w:rPr>
          <w:b/>
          <w:lang w:val="en-GB"/>
        </w:rPr>
      </w:pPr>
    </w:p>
    <w:p w14:paraId="2A3FA936" w14:textId="7440CA17" w:rsidR="00281246" w:rsidRPr="00E94510" w:rsidRDefault="00743AC7">
      <w:pPr>
        <w:widowControl w:val="0"/>
        <w:rPr>
          <w:lang w:val="en-GB"/>
        </w:rPr>
      </w:pPr>
      <w:r w:rsidRPr="00E94510">
        <w:rPr>
          <w:b/>
          <w:lang w:val="en-GB"/>
        </w:rPr>
        <w:t>Recommendations</w:t>
      </w:r>
      <w:r w:rsidRPr="00E94510">
        <w:rPr>
          <w:lang w:val="en-GB"/>
        </w:rPr>
        <w:t>:</w:t>
      </w:r>
    </w:p>
    <w:p w14:paraId="674B4E5D" w14:textId="77777777" w:rsidR="00281246" w:rsidRPr="00E94510" w:rsidRDefault="00743AC7">
      <w:pPr>
        <w:widowControl w:val="0"/>
        <w:spacing w:after="160"/>
        <w:rPr>
          <w:lang w:val="en-GB"/>
        </w:rPr>
      </w:pPr>
      <w:r w:rsidRPr="00E94510">
        <w:rPr>
          <w:lang w:val="en-GB"/>
        </w:rPr>
        <w:t xml:space="preserve">In view of the above, the LDAC would like to make the following recommendations to the European Commission, to: </w:t>
      </w:r>
    </w:p>
    <w:p w14:paraId="4F0A2624" w14:textId="77777777" w:rsidR="00281246" w:rsidRPr="00E94510" w:rsidRDefault="00743AC7">
      <w:pPr>
        <w:widowControl w:val="0"/>
        <w:numPr>
          <w:ilvl w:val="0"/>
          <w:numId w:val="8"/>
        </w:numPr>
        <w:rPr>
          <w:b/>
          <w:lang w:val="en-GB"/>
        </w:rPr>
      </w:pPr>
      <w:bookmarkStart w:id="10" w:name="_Hlk70618226"/>
      <w:r w:rsidRPr="00F47BB9">
        <w:rPr>
          <w:b/>
          <w:highlight w:val="yellow"/>
          <w:lang w:val="en-GB"/>
        </w:rPr>
        <w:t>Foster dialogue and work within RFMOs towards harmonization of access agreement conditions between coastal and flag states in the management and resource allocation of straddling stocks</w:t>
      </w:r>
      <w:r w:rsidRPr="00E94510">
        <w:rPr>
          <w:b/>
          <w:lang w:val="en-GB"/>
        </w:rPr>
        <w:t xml:space="preserve">. </w:t>
      </w:r>
    </w:p>
    <w:p w14:paraId="5366238B" w14:textId="77777777" w:rsidR="00281246" w:rsidRPr="00E94510" w:rsidRDefault="00743AC7">
      <w:pPr>
        <w:widowControl w:val="0"/>
        <w:numPr>
          <w:ilvl w:val="0"/>
          <w:numId w:val="8"/>
        </w:numPr>
        <w:rPr>
          <w:b/>
          <w:lang w:val="en-GB"/>
        </w:rPr>
      </w:pPr>
      <w:r w:rsidRPr="00E94510">
        <w:rPr>
          <w:b/>
          <w:lang w:val="en-GB"/>
        </w:rPr>
        <w:t xml:space="preserve">In order to fight IUU fishing and enhance transparency, ask RFMOs to follow the best practices of ICCAT and GFCM in creating a </w:t>
      </w:r>
      <w:r w:rsidRPr="00F47BB9">
        <w:rPr>
          <w:b/>
          <w:highlight w:val="yellow"/>
          <w:lang w:val="en-GB"/>
        </w:rPr>
        <w:t>public annual reporting system for all access agreements.</w:t>
      </w:r>
      <w:r w:rsidRPr="00E94510">
        <w:rPr>
          <w:b/>
          <w:lang w:val="en-GB"/>
        </w:rPr>
        <w:t xml:space="preserve"> To require that coastal states report on foreign-flagged vessels fishing in waters under their jurisdiction for species managed by that RFMO, and from flag states whose vessels fish in waters under the jurisdiction of another member for species managed by that RFMO.</w:t>
      </w:r>
    </w:p>
    <w:p w14:paraId="106E7DFD" w14:textId="77777777" w:rsidR="00281246" w:rsidRPr="00E94510" w:rsidRDefault="00743AC7">
      <w:pPr>
        <w:widowControl w:val="0"/>
        <w:numPr>
          <w:ilvl w:val="0"/>
          <w:numId w:val="8"/>
        </w:numPr>
        <w:rPr>
          <w:b/>
          <w:lang w:val="en-GB"/>
        </w:rPr>
      </w:pPr>
      <w:r w:rsidRPr="00F47BB9">
        <w:rPr>
          <w:b/>
          <w:highlight w:val="yellow"/>
          <w:lang w:val="en-GB"/>
        </w:rPr>
        <w:t>Contribute to establish regional coordination mechanisms, based on dynamic exchange of information in the spirit of the “Kobe process” for tuna RFMOs</w:t>
      </w:r>
      <w:r w:rsidRPr="00E94510">
        <w:rPr>
          <w:b/>
          <w:lang w:val="en-GB"/>
        </w:rPr>
        <w:t>, must be set up to ensure consistency of applicability of measures related to cross-cutting issues</w:t>
      </w:r>
      <w:r w:rsidRPr="00E94510">
        <w:rPr>
          <w:b/>
          <w:vertAlign w:val="superscript"/>
          <w:lang w:val="en-GB"/>
        </w:rPr>
        <w:footnoteReference w:id="73"/>
      </w:r>
      <w:r w:rsidRPr="00E94510">
        <w:rPr>
          <w:b/>
          <w:lang w:val="en-GB"/>
        </w:rPr>
        <w:t xml:space="preserve"> within the caveat of their regulatory frameworks.</w:t>
      </w:r>
    </w:p>
    <w:p w14:paraId="79E41B5D" w14:textId="23478E24" w:rsidR="00281246" w:rsidRPr="00E94510" w:rsidRDefault="00743AC7">
      <w:pPr>
        <w:widowControl w:val="0"/>
        <w:numPr>
          <w:ilvl w:val="0"/>
          <w:numId w:val="8"/>
        </w:numPr>
        <w:rPr>
          <w:b/>
          <w:lang w:val="en-GB"/>
        </w:rPr>
      </w:pPr>
      <w:r w:rsidRPr="00E94510">
        <w:rPr>
          <w:b/>
          <w:lang w:val="en-GB"/>
        </w:rPr>
        <w:t xml:space="preserve">Showcase RFMOs as “testing laboratory” to promote a regional approach to MCS, through the coordination and setup of regional observer programmes at sea (such as the one for </w:t>
      </w:r>
      <w:r w:rsidR="000A7FCD">
        <w:rPr>
          <w:b/>
          <w:lang w:val="en-GB"/>
        </w:rPr>
        <w:t>bluefin tuna</w:t>
      </w:r>
      <w:r w:rsidRPr="00E94510">
        <w:rPr>
          <w:b/>
          <w:lang w:val="en-GB"/>
        </w:rPr>
        <w:t xml:space="preserve"> in ICCAT or transhipments in IOTC) and port control and inspections schemes (for example, NAFO resolution supporting implementation of FAO PSMA).</w:t>
      </w:r>
    </w:p>
    <w:p w14:paraId="3EFAB16D" w14:textId="77777777" w:rsidR="00281246" w:rsidRPr="00E94510" w:rsidRDefault="00743AC7">
      <w:pPr>
        <w:widowControl w:val="0"/>
        <w:numPr>
          <w:ilvl w:val="0"/>
          <w:numId w:val="8"/>
        </w:numPr>
        <w:rPr>
          <w:b/>
          <w:lang w:val="en-GB"/>
        </w:rPr>
      </w:pPr>
      <w:r w:rsidRPr="00E94510">
        <w:rPr>
          <w:b/>
          <w:lang w:val="en-GB"/>
        </w:rPr>
        <w:t xml:space="preserve">In terms of transparency, propose to carry out a benchmark exercise between performance reviews within RFMOs to verify alignment with the UNCLOS provisions and related instruments such as UNGA Resolutions of Sustainable Fishing. They might also promote the exchange of good practices amongst RFMOs and other bodies on issues of shared interest. </w:t>
      </w:r>
    </w:p>
    <w:p w14:paraId="3B06222C" w14:textId="77777777" w:rsidR="00B12261" w:rsidRDefault="00B12261" w:rsidP="00B12261">
      <w:pPr>
        <w:widowControl w:val="0"/>
        <w:ind w:left="720"/>
        <w:rPr>
          <w:b/>
          <w:lang w:val="en-GB"/>
        </w:rPr>
      </w:pPr>
    </w:p>
    <w:p w14:paraId="32757924" w14:textId="07D96BB8" w:rsidR="00281246" w:rsidRPr="00F47BB9" w:rsidRDefault="00743AC7">
      <w:pPr>
        <w:widowControl w:val="0"/>
        <w:numPr>
          <w:ilvl w:val="0"/>
          <w:numId w:val="8"/>
        </w:numPr>
        <w:rPr>
          <w:b/>
          <w:highlight w:val="yellow"/>
          <w:lang w:val="en-GB"/>
        </w:rPr>
      </w:pPr>
      <w:r w:rsidRPr="00F47BB9">
        <w:rPr>
          <w:b/>
          <w:highlight w:val="yellow"/>
          <w:lang w:val="en-GB"/>
        </w:rPr>
        <w:t>Defend the role of RFMOs in reinforcing mechanisms to fight against IUU fishing, such as collaborative work on information exchange regarding IUU vessels lists, submission of information to the FAO Global Record of Fishing Vessels or the compulsory allocation of IMO numbers for distant water fishing vessels.</w:t>
      </w:r>
    </w:p>
    <w:p w14:paraId="5FB52C0C" w14:textId="77777777" w:rsidR="00281246" w:rsidRPr="00E94510" w:rsidRDefault="00743AC7">
      <w:pPr>
        <w:widowControl w:val="0"/>
        <w:numPr>
          <w:ilvl w:val="0"/>
          <w:numId w:val="3"/>
        </w:numPr>
        <w:rPr>
          <w:b/>
          <w:lang w:val="en-GB"/>
        </w:rPr>
      </w:pPr>
      <w:r w:rsidRPr="00E94510">
        <w:rPr>
          <w:b/>
          <w:lang w:val="en-GB"/>
        </w:rPr>
        <w:t>Continue efforts to expand the requirement in RFMOs for states to verify and take appropriate action when nationals are found to be otherwise benefiting from or supporting the activities of IUU vessels through for example, the provision of services. These measures are also in line with Article 39 of the EU IUU Regulation. Furthermore, CCAMLR, SPRFMO, SIOFA and GFCM have recently adopted such measures upon proposal by the EU.</w:t>
      </w:r>
    </w:p>
    <w:p w14:paraId="4467BD9F" w14:textId="3854156E" w:rsidR="00281246" w:rsidRDefault="00743AC7">
      <w:pPr>
        <w:widowControl w:val="0"/>
        <w:numPr>
          <w:ilvl w:val="0"/>
          <w:numId w:val="3"/>
        </w:numPr>
        <w:rPr>
          <w:b/>
          <w:lang w:val="en-GB"/>
        </w:rPr>
      </w:pPr>
      <w:r w:rsidRPr="00E94510">
        <w:rPr>
          <w:b/>
          <w:lang w:val="en-GB"/>
        </w:rPr>
        <w:t>Table and support proposals in RFMOs aiming at improved transparency standards, particularly regarding the beneficial ownership of vessels, potentially taking as a starting point the example of the IOTC which adopted, in 2019, a conservation and management measure mandating states to submit information on beneficial owners of authorised vessels.</w:t>
      </w:r>
    </w:p>
    <w:p w14:paraId="5AE260DD" w14:textId="5952E57F" w:rsidR="00281246" w:rsidRDefault="00743AC7">
      <w:pPr>
        <w:widowControl w:val="0"/>
        <w:numPr>
          <w:ilvl w:val="0"/>
          <w:numId w:val="3"/>
        </w:numPr>
        <w:rPr>
          <w:b/>
          <w:lang w:val="en-GB"/>
        </w:rPr>
      </w:pPr>
      <w:r w:rsidRPr="00F47BB9">
        <w:rPr>
          <w:b/>
          <w:highlight w:val="yellow"/>
          <w:lang w:val="en-GB"/>
        </w:rPr>
        <w:t>Continue actively promoting the constitution of new RFMOs or other regional arrangements where they do not exist, in particular for managing sustainably shared stocks like the small pelagic and demersal stocks in West Africa; the Arctic; or the Southwest Atlantic; amongst others</w:t>
      </w:r>
      <w:r w:rsidRPr="00E94510">
        <w:rPr>
          <w:b/>
          <w:lang w:val="en-GB"/>
        </w:rPr>
        <w:t xml:space="preserve">. </w:t>
      </w:r>
    </w:p>
    <w:p w14:paraId="6E0EE8CE" w14:textId="3B6DF9A5" w:rsidR="00281246" w:rsidRPr="00F47BB9" w:rsidRDefault="00AA5F40" w:rsidP="00023CB4">
      <w:pPr>
        <w:widowControl w:val="0"/>
        <w:numPr>
          <w:ilvl w:val="0"/>
          <w:numId w:val="3"/>
        </w:numPr>
        <w:rPr>
          <w:b/>
          <w:highlight w:val="yellow"/>
          <w:u w:val="single"/>
          <w:lang w:val="en-GB"/>
        </w:rPr>
      </w:pPr>
      <w:r w:rsidRPr="00F47BB9">
        <w:rPr>
          <w:b/>
          <w:bCs/>
          <w:color w:val="000000"/>
          <w:highlight w:val="yellow"/>
          <w:lang w:val="en-GB"/>
        </w:rPr>
        <w:t>Promote research (through studies, establishment of working group) on the socio-economic impacts of resources exploitation, on coastal communities, local job creation, food security</w:t>
      </w:r>
      <w:r w:rsidR="00AB31CA" w:rsidRPr="00F47BB9">
        <w:rPr>
          <w:rStyle w:val="FootnoteReference"/>
          <w:b/>
          <w:bCs/>
          <w:color w:val="000000"/>
          <w:highlight w:val="yellow"/>
          <w:lang w:val="en-GB"/>
        </w:rPr>
        <w:footnoteReference w:id="74"/>
      </w:r>
      <w:r w:rsidRPr="00F47BB9">
        <w:rPr>
          <w:b/>
          <w:bCs/>
          <w:color w:val="000000"/>
          <w:highlight w:val="yellow"/>
          <w:lang w:val="en-GB"/>
        </w:rPr>
        <w:t>.</w:t>
      </w:r>
    </w:p>
    <w:bookmarkEnd w:id="10"/>
    <w:p w14:paraId="050F0EDB" w14:textId="33B84D8C" w:rsidR="006A0AFE" w:rsidRDefault="006A0AFE" w:rsidP="006A0AFE">
      <w:pPr>
        <w:widowControl w:val="0"/>
        <w:ind w:left="720"/>
        <w:rPr>
          <w:b/>
          <w:u w:val="single"/>
          <w:lang w:val="en-GB"/>
        </w:rPr>
      </w:pPr>
    </w:p>
    <w:p w14:paraId="4083B4E6" w14:textId="17BFBF83" w:rsidR="00EA1A75" w:rsidRDefault="00EA1A75" w:rsidP="006A0AFE">
      <w:pPr>
        <w:widowControl w:val="0"/>
        <w:ind w:left="720"/>
        <w:rPr>
          <w:b/>
          <w:u w:val="single"/>
          <w:lang w:val="en-GB"/>
        </w:rPr>
      </w:pPr>
    </w:p>
    <w:p w14:paraId="3222C3E8" w14:textId="7AC26169" w:rsidR="00EA1A75" w:rsidRDefault="00EA1A75" w:rsidP="006A0AFE">
      <w:pPr>
        <w:widowControl w:val="0"/>
        <w:ind w:left="720"/>
        <w:rPr>
          <w:b/>
          <w:u w:val="single"/>
          <w:lang w:val="en-GB"/>
        </w:rPr>
      </w:pPr>
    </w:p>
    <w:p w14:paraId="0E1FF9F3" w14:textId="7BC49C0A" w:rsidR="00EA1A75" w:rsidRDefault="00EA1A75" w:rsidP="006A0AFE">
      <w:pPr>
        <w:widowControl w:val="0"/>
        <w:ind w:left="720"/>
        <w:rPr>
          <w:b/>
          <w:u w:val="single"/>
          <w:lang w:val="en-GB"/>
        </w:rPr>
      </w:pPr>
    </w:p>
    <w:p w14:paraId="40A337C0" w14:textId="509E8E00" w:rsidR="00EA1A75" w:rsidRDefault="00EA1A75" w:rsidP="006A0AFE">
      <w:pPr>
        <w:widowControl w:val="0"/>
        <w:ind w:left="720"/>
        <w:rPr>
          <w:b/>
          <w:u w:val="single"/>
          <w:lang w:val="en-GB"/>
        </w:rPr>
      </w:pPr>
    </w:p>
    <w:p w14:paraId="6DBA7A40" w14:textId="3BFAB90F" w:rsidR="00B12261" w:rsidRDefault="00B12261">
      <w:pPr>
        <w:rPr>
          <w:b/>
          <w:u w:val="single"/>
          <w:lang w:val="en-GB"/>
        </w:rPr>
      </w:pPr>
      <w:r>
        <w:rPr>
          <w:b/>
          <w:u w:val="single"/>
          <w:lang w:val="en-GB"/>
        </w:rPr>
        <w:br w:type="page"/>
      </w:r>
    </w:p>
    <w:p w14:paraId="4D062863" w14:textId="7A978FA8" w:rsidR="00281246" w:rsidRPr="00E2272E" w:rsidRDefault="00743AC7">
      <w:pPr>
        <w:widowControl w:val="0"/>
        <w:pBdr>
          <w:top w:val="single" w:sz="4" w:space="1" w:color="000000"/>
          <w:left w:val="single" w:sz="4" w:space="4" w:color="000000"/>
          <w:bottom w:val="single" w:sz="4" w:space="1" w:color="000000"/>
          <w:right w:val="single" w:sz="4" w:space="4" w:color="000000"/>
        </w:pBdr>
        <w:ind w:left="220"/>
        <w:rPr>
          <w:b/>
          <w:lang w:val="en-US"/>
        </w:rPr>
      </w:pPr>
      <w:bookmarkStart w:id="11" w:name="_3dy6vkm" w:colFirst="0" w:colLast="0"/>
      <w:bookmarkEnd w:id="11"/>
      <w:r w:rsidRPr="00E2272E">
        <w:rPr>
          <w:b/>
          <w:lang w:val="en-US"/>
        </w:rPr>
        <w:lastRenderedPageBreak/>
        <w:t>CHAPTER II: Trade policies</w:t>
      </w:r>
    </w:p>
    <w:p w14:paraId="00483A0E" w14:textId="3A94C9EB" w:rsidR="00281246" w:rsidRPr="00E94510" w:rsidRDefault="00743AC7">
      <w:pPr>
        <w:widowControl w:val="0"/>
        <w:ind w:left="220"/>
        <w:rPr>
          <w:lang w:val="en-GB"/>
        </w:rPr>
      </w:pPr>
      <w:r w:rsidRPr="00E94510">
        <w:rPr>
          <w:b/>
          <w:lang w:val="en-GB"/>
        </w:rPr>
        <w:t>2.1 - Sustainable Development in trade arrangements</w:t>
      </w:r>
    </w:p>
    <w:p w14:paraId="6DE7E7A0" w14:textId="77777777" w:rsidR="00281246" w:rsidRPr="00E94510" w:rsidRDefault="00743AC7">
      <w:pPr>
        <w:widowControl w:val="0"/>
        <w:rPr>
          <w:lang w:val="en-GB"/>
        </w:rPr>
      </w:pPr>
      <w:r w:rsidRPr="00E94510">
        <w:rPr>
          <w:lang w:val="en-GB"/>
        </w:rPr>
        <w:t xml:space="preserve">The LDAC acknowledges the three core objectives of the EU’s trade policy for the medium term: (i) supporting the </w:t>
      </w:r>
      <w:r w:rsidRPr="00427DBC">
        <w:rPr>
          <w:highlight w:val="yellow"/>
          <w:lang w:val="en-GB"/>
        </w:rPr>
        <w:t>recovery and fundamental transformation of the EU economy in line with its green and digital objectives</w:t>
      </w:r>
      <w:r w:rsidRPr="00E94510">
        <w:rPr>
          <w:lang w:val="en-GB"/>
        </w:rPr>
        <w:t xml:space="preserve">; (ii) </w:t>
      </w:r>
      <w:r w:rsidRPr="00427DBC">
        <w:rPr>
          <w:highlight w:val="yellow"/>
          <w:lang w:val="en-GB"/>
        </w:rPr>
        <w:t>shaping global rules for a more sustainable and fairer globalisation</w:t>
      </w:r>
      <w:r w:rsidRPr="00E94510">
        <w:rPr>
          <w:lang w:val="en-GB"/>
        </w:rPr>
        <w:t xml:space="preserve">; and (iii) increasing the EU’s capacity to pursue its interests and enforce its rights, including autonomously where needed. </w:t>
      </w:r>
    </w:p>
    <w:p w14:paraId="74ADDC56" w14:textId="42E14744" w:rsidR="00281246" w:rsidRDefault="00743AC7">
      <w:pPr>
        <w:widowControl w:val="0"/>
        <w:rPr>
          <w:lang w:val="en-GB"/>
        </w:rPr>
      </w:pPr>
      <w:r w:rsidRPr="00E94510">
        <w:rPr>
          <w:lang w:val="en-GB"/>
        </w:rPr>
        <w:t>The LDAC particularly welcomes that strengthening the EU’s focus on implementation and enforcement of trade agreements, and ensure a level playing field; promoting responsible and sustainable value chains; and strengthening the EU’s partnerships with neighbouring, enlargement countries and Africa are included in the six areas that are critical to achieving the EU’s objectives in the medium term</w:t>
      </w:r>
      <w:r w:rsidRPr="00E94510">
        <w:rPr>
          <w:vertAlign w:val="superscript"/>
          <w:lang w:val="en-GB"/>
        </w:rPr>
        <w:footnoteReference w:id="75"/>
      </w:r>
      <w:r w:rsidRPr="00E94510">
        <w:rPr>
          <w:lang w:val="en-GB"/>
        </w:rPr>
        <w:t xml:space="preserve">. </w:t>
      </w:r>
    </w:p>
    <w:p w14:paraId="5777E653" w14:textId="77777777" w:rsidR="00B12261" w:rsidRDefault="00B12261">
      <w:pPr>
        <w:widowControl w:val="0"/>
        <w:rPr>
          <w:lang w:val="en-GB"/>
        </w:rPr>
      </w:pPr>
    </w:p>
    <w:p w14:paraId="4CEAB72B" w14:textId="77777777" w:rsidR="00281246" w:rsidRPr="00E94510" w:rsidRDefault="00743AC7">
      <w:pPr>
        <w:widowControl w:val="0"/>
        <w:ind w:left="220"/>
        <w:rPr>
          <w:lang w:val="en-GB"/>
        </w:rPr>
      </w:pPr>
      <w:r w:rsidRPr="00E94510">
        <w:rPr>
          <w:b/>
          <w:lang w:val="en-GB"/>
        </w:rPr>
        <w:t xml:space="preserve">2.1.1 - </w:t>
      </w:r>
      <w:r w:rsidRPr="00427DBC">
        <w:rPr>
          <w:b/>
          <w:highlight w:val="yellow"/>
          <w:lang w:val="en-GB"/>
        </w:rPr>
        <w:t>Sustainable development in GSP arrangement</w:t>
      </w:r>
    </w:p>
    <w:p w14:paraId="6381C410" w14:textId="77777777" w:rsidR="00281246" w:rsidRPr="00E94510" w:rsidRDefault="00743AC7">
      <w:pPr>
        <w:widowControl w:val="0"/>
        <w:rPr>
          <w:lang w:val="en-GB"/>
        </w:rPr>
      </w:pPr>
      <w:r w:rsidRPr="00E94510">
        <w:rPr>
          <w:lang w:val="en-GB"/>
        </w:rPr>
        <w:t xml:space="preserve">The EU’s Generalised Scheme of Preferences (GSP) grants unilateral tariff preferences to developing countries as a means of supporting their economic and social development, as well as promoting human rights, employment standards, sustainable development and good governance practices. </w:t>
      </w:r>
      <w:r w:rsidRPr="00427DBC">
        <w:rPr>
          <w:highlight w:val="yellow"/>
          <w:lang w:val="en-GB"/>
        </w:rPr>
        <w:t>The preferential tariff allows developing countries to pay fewer or no duties on exports to the EU.</w:t>
      </w:r>
      <w:r w:rsidRPr="00E94510">
        <w:rPr>
          <w:lang w:val="en-GB"/>
        </w:rPr>
        <w:t xml:space="preserve"> The current EU regulation that governs the EU's GSP came into force on 1 January 2014 and will expire on 31 December 2023</w:t>
      </w:r>
      <w:r w:rsidRPr="00E94510">
        <w:rPr>
          <w:vertAlign w:val="superscript"/>
          <w:lang w:val="en-GB"/>
        </w:rPr>
        <w:footnoteReference w:id="76"/>
      </w:r>
      <w:r w:rsidRPr="00E94510">
        <w:rPr>
          <w:lang w:val="en-GB"/>
        </w:rPr>
        <w:t>. The preparatory work needed to allow the European Commission to decide on the future of the scheme post-2023 is on-going</w:t>
      </w:r>
      <w:r w:rsidRPr="00E94510">
        <w:rPr>
          <w:vertAlign w:val="superscript"/>
          <w:lang w:val="en-GB"/>
        </w:rPr>
        <w:footnoteReference w:id="77"/>
      </w:r>
      <w:r w:rsidRPr="00E94510">
        <w:rPr>
          <w:lang w:val="en-GB"/>
        </w:rPr>
        <w:t xml:space="preserve">.  </w:t>
      </w:r>
    </w:p>
    <w:p w14:paraId="044B72AE" w14:textId="1ACD7BF9" w:rsidR="00281246" w:rsidRPr="00E94510" w:rsidRDefault="00743AC7">
      <w:pPr>
        <w:widowControl w:val="0"/>
        <w:rPr>
          <w:lang w:val="en-GB"/>
        </w:rPr>
      </w:pPr>
      <w:r w:rsidRPr="00E94510">
        <w:rPr>
          <w:lang w:val="en-GB"/>
        </w:rPr>
        <w:t xml:space="preserve">The current scheme consists of the following three arrangements: the standard GSP, GSP+, and EBA (“Everything </w:t>
      </w:r>
      <w:r w:rsidR="005F185B" w:rsidRPr="00E94510">
        <w:rPr>
          <w:lang w:val="en-GB"/>
        </w:rPr>
        <w:t>but</w:t>
      </w:r>
      <w:r w:rsidRPr="00E94510">
        <w:rPr>
          <w:lang w:val="en-GB"/>
        </w:rPr>
        <w:t xml:space="preserve"> Arms”)</w:t>
      </w:r>
      <w:r w:rsidRPr="00E94510">
        <w:rPr>
          <w:vertAlign w:val="superscript"/>
          <w:lang w:val="en-GB"/>
        </w:rPr>
        <w:footnoteReference w:id="78"/>
      </w:r>
      <w:r w:rsidRPr="00E94510">
        <w:rPr>
          <w:lang w:val="en-GB"/>
        </w:rPr>
        <w:t>. These arrangements offer different levels of tariff incentives corresponding to differing development needs and circumstances of developing countries. The GSP+ is a special incentive arrangement for sustainable development and good governance. It grants preferential market access to countries that meet economic criteria and that have ratified and implement 27 specific international conventions on human and labour rights, environmental protection and good governance</w:t>
      </w:r>
      <w:r w:rsidRPr="00E94510">
        <w:rPr>
          <w:vertAlign w:val="superscript"/>
          <w:lang w:val="en-GB"/>
        </w:rPr>
        <w:footnoteReference w:id="79"/>
      </w:r>
      <w:r w:rsidRPr="00E94510">
        <w:rPr>
          <w:lang w:val="en-GB"/>
        </w:rPr>
        <w:t xml:space="preserve">. </w:t>
      </w:r>
    </w:p>
    <w:p w14:paraId="6955A4A8" w14:textId="20A91BA1" w:rsidR="00B12261" w:rsidRDefault="00743AC7">
      <w:pPr>
        <w:widowControl w:val="0"/>
        <w:rPr>
          <w:lang w:val="en-GB"/>
        </w:rPr>
      </w:pPr>
      <w:r w:rsidRPr="00E94510">
        <w:rPr>
          <w:lang w:val="en-GB"/>
        </w:rPr>
        <w:t xml:space="preserve">To date, </w:t>
      </w:r>
      <w:r w:rsidRPr="00F37317">
        <w:rPr>
          <w:highlight w:val="yellow"/>
          <w:lang w:val="en-GB"/>
        </w:rPr>
        <w:t>eight third countries benefit from the GSP+ status</w:t>
      </w:r>
      <w:r w:rsidRPr="00E94510">
        <w:rPr>
          <w:vertAlign w:val="superscript"/>
          <w:lang w:val="en-GB"/>
        </w:rPr>
        <w:footnoteReference w:id="80"/>
      </w:r>
      <w:r w:rsidRPr="00E94510">
        <w:rPr>
          <w:lang w:val="en-GB"/>
        </w:rPr>
        <w:t>.</w:t>
      </w:r>
      <w:r w:rsidRPr="00E94510">
        <w:rPr>
          <w:vertAlign w:val="superscript"/>
          <w:lang w:val="en-GB"/>
        </w:rPr>
        <w:t xml:space="preserve"> </w:t>
      </w:r>
      <w:r w:rsidRPr="00E94510">
        <w:rPr>
          <w:lang w:val="en-GB"/>
        </w:rPr>
        <w:t>Three of these are of particular interest to the LDAC as fisheries products rank amongst their products that benefit the most from the GSP+ (namely Cabo Verde</w:t>
      </w:r>
      <w:r w:rsidRPr="00E94510">
        <w:rPr>
          <w:vertAlign w:val="superscript"/>
          <w:lang w:val="en-GB"/>
        </w:rPr>
        <w:footnoteReference w:id="81"/>
      </w:r>
      <w:r w:rsidRPr="00E94510">
        <w:rPr>
          <w:lang w:val="en-GB"/>
        </w:rPr>
        <w:t>, the Philippines</w:t>
      </w:r>
      <w:r w:rsidRPr="00E94510">
        <w:rPr>
          <w:vertAlign w:val="superscript"/>
          <w:lang w:val="en-GB"/>
        </w:rPr>
        <w:footnoteReference w:id="82"/>
      </w:r>
      <w:r w:rsidRPr="00E94510">
        <w:rPr>
          <w:lang w:val="en-GB"/>
        </w:rPr>
        <w:t xml:space="preserve"> and Sri Lanka</w:t>
      </w:r>
      <w:r w:rsidRPr="00E94510">
        <w:rPr>
          <w:vertAlign w:val="superscript"/>
          <w:lang w:val="en-GB"/>
        </w:rPr>
        <w:footnoteReference w:id="83"/>
      </w:r>
      <w:r w:rsidRPr="00E94510">
        <w:rPr>
          <w:lang w:val="en-GB"/>
        </w:rPr>
        <w:t xml:space="preserve">). </w:t>
      </w:r>
      <w:r w:rsidR="00B12261">
        <w:rPr>
          <w:lang w:val="en-GB"/>
        </w:rPr>
        <w:t xml:space="preserve"> </w:t>
      </w:r>
    </w:p>
    <w:p w14:paraId="5D7B4105" w14:textId="59AC50AE" w:rsidR="00281246" w:rsidRPr="00E94510" w:rsidRDefault="00B12261">
      <w:pPr>
        <w:widowControl w:val="0"/>
        <w:rPr>
          <w:lang w:val="en-GB"/>
        </w:rPr>
      </w:pPr>
      <w:r>
        <w:rPr>
          <w:lang w:val="en-GB"/>
        </w:rPr>
        <w:t xml:space="preserve">                                                                                                                                                                             </w:t>
      </w:r>
      <w:r w:rsidR="00743AC7" w:rsidRPr="00E94510">
        <w:rPr>
          <w:lang w:val="en-GB"/>
        </w:rPr>
        <w:lastRenderedPageBreak/>
        <w:t xml:space="preserve">The LDAC </w:t>
      </w:r>
      <w:r w:rsidR="00743AC7" w:rsidRPr="00F37317">
        <w:rPr>
          <w:highlight w:val="yellow"/>
          <w:lang w:val="en-GB"/>
        </w:rPr>
        <w:t>acknowledges that the GSP+, and to a greater extent the EU’s GSP, has contributed to the promotion of sustainable development</w:t>
      </w:r>
      <w:r w:rsidR="00743AC7" w:rsidRPr="00E94510">
        <w:rPr>
          <w:lang w:val="en-GB"/>
        </w:rPr>
        <w:t xml:space="preserve"> as highlighted in the report from the European Commission to the European Parliament and the Council on the application of Regulation (EU) No 978/2012</w:t>
      </w:r>
      <w:r w:rsidR="00743AC7" w:rsidRPr="00E94510">
        <w:rPr>
          <w:vertAlign w:val="superscript"/>
          <w:lang w:val="en-GB"/>
        </w:rPr>
        <w:footnoteReference w:id="84"/>
      </w:r>
      <w:r w:rsidR="00743AC7" w:rsidRPr="00E94510">
        <w:rPr>
          <w:lang w:val="en-GB"/>
        </w:rPr>
        <w:t xml:space="preserve"> and wishes to express support to this tool as one to foster sustainable development.</w:t>
      </w:r>
    </w:p>
    <w:p w14:paraId="5C7A456A" w14:textId="0B24D200" w:rsidR="00281246" w:rsidRPr="00E94510" w:rsidRDefault="00743AC7">
      <w:pPr>
        <w:widowControl w:val="0"/>
        <w:rPr>
          <w:lang w:val="en-GB"/>
        </w:rPr>
      </w:pPr>
      <w:r w:rsidRPr="00E94510">
        <w:rPr>
          <w:lang w:val="en-GB"/>
        </w:rPr>
        <w:t xml:space="preserve">The LDAC nonetheless wishes to highlight the importance it attaches to the scheme being implemented also in a way that </w:t>
      </w:r>
      <w:r w:rsidRPr="00F37317">
        <w:rPr>
          <w:highlight w:val="yellow"/>
          <w:lang w:val="en-GB"/>
        </w:rPr>
        <w:t>protects the interests of the Union sector through ensuring an external level playing field.</w:t>
      </w:r>
      <w:r w:rsidRPr="00E94510">
        <w:rPr>
          <w:lang w:val="en-GB"/>
        </w:rPr>
        <w:t xml:space="preserve"> In respect of fisheries products, </w:t>
      </w:r>
      <w:r w:rsidRPr="00F37317">
        <w:rPr>
          <w:highlight w:val="yellow"/>
          <w:lang w:val="en-GB"/>
        </w:rPr>
        <w:t>this should translate into imported products meeting the same standards that apply to EU fisheries products, particularly from a social and environmental perspective.</w:t>
      </w:r>
      <w:r w:rsidRPr="00E94510">
        <w:rPr>
          <w:lang w:val="en-GB"/>
        </w:rPr>
        <w:t xml:space="preserve"> The LDAC wishes to stress that it would not be acceptable that countries associated with phenomena such as IUU fishing, human rights violations and labour abuses, and that do not take sustained concrete steps to address them within a reasonable time frame and, where appropriate, with support from the EU</w:t>
      </w:r>
      <w:r w:rsidR="000A7FCD">
        <w:rPr>
          <w:lang w:val="en-GB"/>
        </w:rPr>
        <w:t>,</w:t>
      </w:r>
      <w:r w:rsidRPr="00E94510">
        <w:rPr>
          <w:lang w:val="en-GB"/>
        </w:rPr>
        <w:t xml:space="preserve"> benefit from tariff preferences. This applies to the GSP+ as well as the standard GSP and EBA. Such a situation would not only be non-compatible with EU’s values but also put at unfair disadvantage operators who adhere to the highest standards which come with costly requirements.</w:t>
      </w:r>
    </w:p>
    <w:p w14:paraId="59C5E33A" w14:textId="77777777" w:rsidR="00281246" w:rsidRPr="00E94510" w:rsidRDefault="00743AC7">
      <w:pPr>
        <w:widowControl w:val="0"/>
        <w:rPr>
          <w:lang w:val="en-GB"/>
        </w:rPr>
      </w:pPr>
      <w:r w:rsidRPr="00E94510">
        <w:rPr>
          <w:lang w:val="en-GB"/>
        </w:rPr>
        <w:t>In this context, the LDAC is concerned with the findings made vis-à-vis the Philippines in the report on the GSP covering the period 2018-2019</w:t>
      </w:r>
      <w:r w:rsidRPr="00E94510">
        <w:rPr>
          <w:vertAlign w:val="superscript"/>
          <w:lang w:val="en-GB"/>
        </w:rPr>
        <w:footnoteReference w:id="85"/>
      </w:r>
      <w:r w:rsidRPr="00E94510">
        <w:rPr>
          <w:lang w:val="en-GB"/>
        </w:rPr>
        <w:t>. These indicate that, although the country made some progress in improving the implementation of international labour standards, some important challenges remain and efforts to ensure better and effective enforcement of legislation need to be strengthened, in particular vis-à-vis human trafficking and exploitation/forced labour and the protection of migrant workers</w:t>
      </w:r>
      <w:r w:rsidRPr="00E94510">
        <w:rPr>
          <w:vertAlign w:val="superscript"/>
          <w:lang w:val="en-GB"/>
        </w:rPr>
        <w:footnoteReference w:id="86"/>
      </w:r>
      <w:r w:rsidRPr="00E94510">
        <w:rPr>
          <w:lang w:val="en-GB"/>
        </w:rPr>
        <w:t>. Similar findings had been made in previous reports.</w:t>
      </w:r>
    </w:p>
    <w:p w14:paraId="17AAFB3E" w14:textId="77777777" w:rsidR="00281246" w:rsidRPr="00E94510" w:rsidRDefault="00743AC7">
      <w:pPr>
        <w:widowControl w:val="0"/>
        <w:rPr>
          <w:lang w:val="en-GB"/>
        </w:rPr>
      </w:pPr>
      <w:r w:rsidRPr="00E94510">
        <w:rPr>
          <w:lang w:val="en-GB"/>
        </w:rPr>
        <w:t>And while neither Cabo Verde, the Philippines nor Sri Lanka are currently under a so-called ‘yellow card’ or ‘red card’ imposed under the EU IUU Regulation, the LDAC wishes to recall that the Philippines was added to the list of third countries benefiting from the GSP+ status</w:t>
      </w:r>
      <w:r w:rsidRPr="00E94510">
        <w:rPr>
          <w:vertAlign w:val="superscript"/>
          <w:lang w:val="en-GB"/>
        </w:rPr>
        <w:footnoteReference w:id="87"/>
      </w:r>
      <w:r w:rsidRPr="00E94510">
        <w:rPr>
          <w:lang w:val="en-GB"/>
        </w:rPr>
        <w:t xml:space="preserve"> prior to the lifting of a yellow card</w:t>
      </w:r>
      <w:r w:rsidRPr="00E94510">
        <w:rPr>
          <w:vertAlign w:val="superscript"/>
          <w:lang w:val="en-GB"/>
        </w:rPr>
        <w:footnoteReference w:id="88"/>
      </w:r>
      <w:r w:rsidRPr="00E94510">
        <w:rPr>
          <w:lang w:val="en-GB"/>
        </w:rPr>
        <w:t>. Although the European Commission clarified that the GSP+ and EU’s policy against IUU fishing are governed by “unrelated legal instruments with different policy objectives”</w:t>
      </w:r>
      <w:r w:rsidRPr="00E94510">
        <w:rPr>
          <w:vertAlign w:val="superscript"/>
          <w:lang w:val="en-GB"/>
        </w:rPr>
        <w:footnoteReference w:id="89"/>
      </w:r>
      <w:r w:rsidRPr="00E94510">
        <w:rPr>
          <w:vertAlign w:val="superscript"/>
          <w:lang w:val="en-GB"/>
        </w:rPr>
        <w:t>,</w:t>
      </w:r>
      <w:r w:rsidRPr="00E94510">
        <w:rPr>
          <w:vertAlign w:val="superscript"/>
          <w:lang w:val="en-GB"/>
        </w:rPr>
        <w:footnoteReference w:id="90"/>
      </w:r>
      <w:r w:rsidRPr="00E94510">
        <w:rPr>
          <w:lang w:val="en-GB"/>
        </w:rPr>
        <w:t>, the LDAC wishes to insist on the importance of policy consistency. Similarly, the LDAC notes with concern the alleged cases of IUU fishing involving Sri Lankan vessels in the Indian Ocean</w:t>
      </w:r>
      <w:r w:rsidRPr="00E94510">
        <w:rPr>
          <w:vertAlign w:val="superscript"/>
          <w:lang w:val="en-GB"/>
        </w:rPr>
        <w:footnoteReference w:id="91"/>
      </w:r>
      <w:r w:rsidRPr="00E94510">
        <w:rPr>
          <w:lang w:val="en-GB"/>
        </w:rPr>
        <w:t>.</w:t>
      </w:r>
    </w:p>
    <w:p w14:paraId="5F53DAC8" w14:textId="77777777" w:rsidR="00B12261" w:rsidRDefault="00743AC7">
      <w:pPr>
        <w:widowControl w:val="0"/>
        <w:rPr>
          <w:lang w:val="en-GB"/>
        </w:rPr>
      </w:pPr>
      <w:r w:rsidRPr="00E94510">
        <w:rPr>
          <w:lang w:val="en-GB"/>
        </w:rPr>
        <w:t>In this respect, the LDAC notes that the current list of 27 international conventions to be ratified and effectively implemented to benefit from the GSP+</w:t>
      </w:r>
      <w:r w:rsidRPr="00E94510">
        <w:rPr>
          <w:vertAlign w:val="superscript"/>
          <w:lang w:val="en-GB"/>
        </w:rPr>
        <w:footnoteReference w:id="92"/>
      </w:r>
      <w:r w:rsidRPr="00E94510">
        <w:rPr>
          <w:lang w:val="en-GB"/>
        </w:rPr>
        <w:t xml:space="preserve"> largely ignores the legal instruments governing the management of fisheries resources although fish stocks are essential to biodiversity and sustainable development, and fisheries products are amongst the highest traded food commodities with the EU being the world’s largest net importer. </w:t>
      </w:r>
    </w:p>
    <w:p w14:paraId="157544D4" w14:textId="3C0678C4" w:rsidR="00281246" w:rsidRPr="00E94510" w:rsidRDefault="00743AC7">
      <w:pPr>
        <w:widowControl w:val="0"/>
        <w:rPr>
          <w:lang w:val="en-GB"/>
        </w:rPr>
      </w:pPr>
      <w:r w:rsidRPr="00E94510">
        <w:rPr>
          <w:lang w:val="en-GB"/>
        </w:rPr>
        <w:lastRenderedPageBreak/>
        <w:t>Notwithstanding the fact that, in accordance with Article 19(1)(e) of Regulation (EU) No 978/2012, “serious and systematic infringement of the objectives adopted by regional fishery organisations or any international arrangements to which the Union is a party concerning the conservation and management of fishery resources” can lead to, in theory, temporary withdrawal of tariff preferences, the LDAC is concerned and found it contradictory that countries not meeting the standards set by those legal instruments can benefit from preferential market access due to the legal instruments governing the management of fisheries resources being currently largely ignored.</w:t>
      </w:r>
    </w:p>
    <w:p w14:paraId="4EDE418C" w14:textId="77777777" w:rsidR="00281246" w:rsidRPr="00E94510" w:rsidRDefault="00743AC7">
      <w:pPr>
        <w:widowControl w:val="0"/>
        <w:rPr>
          <w:lang w:val="en-GB"/>
        </w:rPr>
      </w:pPr>
      <w:r w:rsidRPr="00E94510">
        <w:rPr>
          <w:lang w:val="en-GB"/>
        </w:rPr>
        <w:t>In the context of the on-going preparatory work needed to allow the European Commission to decide on the future of the scheme, the LDAC had the opportunity to bring forward recommendations which it considers could improve the EU’s GSP</w:t>
      </w:r>
      <w:r w:rsidRPr="00E94510">
        <w:rPr>
          <w:vertAlign w:val="superscript"/>
          <w:lang w:val="en-GB"/>
        </w:rPr>
        <w:footnoteReference w:id="93"/>
      </w:r>
      <w:r w:rsidRPr="00E94510">
        <w:rPr>
          <w:lang w:val="en-GB"/>
        </w:rPr>
        <w:t>. In this opinion, the LDAC wishes to formulate synthetic recommendations targeted at addressing the issue of sustainable development in the fisheries sector through the implementation of the GSP+.</w:t>
      </w:r>
    </w:p>
    <w:p w14:paraId="4CE9BA54" w14:textId="77777777" w:rsidR="00281246" w:rsidRPr="00E94510" w:rsidRDefault="00743AC7">
      <w:pPr>
        <w:widowControl w:val="0"/>
        <w:rPr>
          <w:lang w:val="en-GB"/>
        </w:rPr>
      </w:pPr>
      <w:r w:rsidRPr="00E94510">
        <w:rPr>
          <w:b/>
          <w:lang w:val="en-GB"/>
        </w:rPr>
        <w:t>Recommendations</w:t>
      </w:r>
      <w:r w:rsidRPr="00E94510">
        <w:rPr>
          <w:lang w:val="en-GB"/>
        </w:rPr>
        <w:t>:</w:t>
      </w:r>
    </w:p>
    <w:p w14:paraId="3D9DFE3C" w14:textId="4C815C38" w:rsidR="00281246" w:rsidRPr="00E94510" w:rsidRDefault="00743AC7">
      <w:pPr>
        <w:widowControl w:val="0"/>
        <w:rPr>
          <w:b/>
          <w:color w:val="222222"/>
          <w:highlight w:val="white"/>
          <w:lang w:val="en-GB"/>
        </w:rPr>
      </w:pPr>
      <w:r w:rsidRPr="00E94510">
        <w:rPr>
          <w:lang w:val="en-GB"/>
        </w:rPr>
        <w:t>In view of the above, the LDAC would like to make the following recommendations to the E</w:t>
      </w:r>
      <w:r w:rsidR="00CD7399">
        <w:rPr>
          <w:lang w:val="en-GB"/>
        </w:rPr>
        <w:t>C</w:t>
      </w:r>
      <w:r w:rsidRPr="00E94510">
        <w:rPr>
          <w:lang w:val="en-GB"/>
        </w:rPr>
        <w:t>, to:</w:t>
      </w:r>
    </w:p>
    <w:p w14:paraId="712F15D7" w14:textId="77777777" w:rsidR="00281246" w:rsidRPr="00E94510" w:rsidRDefault="00743AC7">
      <w:pPr>
        <w:numPr>
          <w:ilvl w:val="0"/>
          <w:numId w:val="7"/>
        </w:numPr>
        <w:spacing w:after="220"/>
        <w:rPr>
          <w:b/>
          <w:lang w:val="en-GB"/>
        </w:rPr>
      </w:pPr>
      <w:bookmarkStart w:id="12" w:name="_Hlk70618279"/>
      <w:r w:rsidRPr="00E94510">
        <w:rPr>
          <w:b/>
          <w:lang w:val="en-GB"/>
        </w:rPr>
        <w:t xml:space="preserve">Include to the list of international conventions and agreements that GSP+ beneficiary countries are required to ratify and effectively implement </w:t>
      </w:r>
      <w:r w:rsidRPr="00F37317">
        <w:rPr>
          <w:b/>
          <w:highlight w:val="yellow"/>
          <w:lang w:val="en-GB"/>
        </w:rPr>
        <w:t>nine additional relevant international legal instruments</w:t>
      </w:r>
      <w:r w:rsidRPr="00E94510">
        <w:rPr>
          <w:b/>
          <w:vertAlign w:val="superscript"/>
          <w:lang w:val="en-GB"/>
        </w:rPr>
        <w:footnoteReference w:id="94"/>
      </w:r>
      <w:r w:rsidRPr="00E94510">
        <w:rPr>
          <w:b/>
          <w:lang w:val="en-GB"/>
        </w:rPr>
        <w:t>.</w:t>
      </w:r>
    </w:p>
    <w:p w14:paraId="3665D556" w14:textId="77777777" w:rsidR="00281246" w:rsidRPr="00E94510" w:rsidRDefault="00743AC7">
      <w:pPr>
        <w:numPr>
          <w:ilvl w:val="0"/>
          <w:numId w:val="7"/>
        </w:numPr>
        <w:spacing w:after="220"/>
        <w:rPr>
          <w:b/>
          <w:lang w:val="en-GB"/>
        </w:rPr>
      </w:pPr>
      <w:r w:rsidRPr="00E94510">
        <w:rPr>
          <w:b/>
          <w:lang w:val="en-GB"/>
        </w:rPr>
        <w:t>Demand effective implementation of the 27 GSP+ legal instruments and the abovementioned additional ones by the beneficiary third countries and ensure effective implementation through close, inclusive and transparent monitoring of the situation in these countries.</w:t>
      </w:r>
    </w:p>
    <w:p w14:paraId="7BB6245F" w14:textId="77777777" w:rsidR="00281246" w:rsidRPr="00E94510" w:rsidRDefault="00743AC7">
      <w:pPr>
        <w:numPr>
          <w:ilvl w:val="0"/>
          <w:numId w:val="7"/>
        </w:numPr>
        <w:spacing w:after="220"/>
        <w:rPr>
          <w:b/>
          <w:lang w:val="en-GB"/>
        </w:rPr>
      </w:pPr>
      <w:r w:rsidRPr="00E94510">
        <w:rPr>
          <w:b/>
          <w:lang w:val="en-GB"/>
        </w:rPr>
        <w:t>Provide appropriate support, through a transparent and accountable mechanism, to the beneficiary third countries to accompany them in meeting these commitments.</w:t>
      </w:r>
    </w:p>
    <w:p w14:paraId="159E5271" w14:textId="77777777" w:rsidR="00281246" w:rsidRPr="00E94510" w:rsidRDefault="00743AC7">
      <w:pPr>
        <w:numPr>
          <w:ilvl w:val="0"/>
          <w:numId w:val="7"/>
        </w:numPr>
        <w:spacing w:after="220"/>
        <w:rPr>
          <w:b/>
          <w:lang w:val="en-GB"/>
        </w:rPr>
      </w:pPr>
      <w:r w:rsidRPr="00F37317">
        <w:rPr>
          <w:b/>
          <w:highlight w:val="yellow"/>
          <w:lang w:val="en-GB"/>
        </w:rPr>
        <w:t>Where sufficient information indicates that a beneficiary country is violating core human and/or labour rights, or the principles laid down in the relevant international conventions related to the protection of the environment and good governance, engage, immediately, with the country to swiftly remedy the situation</w:t>
      </w:r>
      <w:r w:rsidRPr="00E94510">
        <w:rPr>
          <w:b/>
          <w:lang w:val="en-GB"/>
        </w:rPr>
        <w:t>.</w:t>
      </w:r>
    </w:p>
    <w:p w14:paraId="75CD6B53" w14:textId="77777777" w:rsidR="00281246" w:rsidRPr="00E94510" w:rsidRDefault="00743AC7">
      <w:pPr>
        <w:numPr>
          <w:ilvl w:val="0"/>
          <w:numId w:val="7"/>
        </w:numPr>
        <w:spacing w:after="220"/>
        <w:rPr>
          <w:b/>
          <w:lang w:val="en-GB"/>
        </w:rPr>
      </w:pPr>
      <w:r w:rsidRPr="00E94510">
        <w:rPr>
          <w:b/>
          <w:lang w:val="en-GB"/>
        </w:rPr>
        <w:t>Should the beneficiary country fail to engage and to swiftly remedy any such situation, make prompt and full use of all existing mechanisms to redress the situation, including the withdrawal of tariff preferences. Similarly, the LDAC recommends to the European Commission to make full use of the provisions under Article 19(1)(e) of Regulation (EU) No 978/2012.</w:t>
      </w:r>
    </w:p>
    <w:p w14:paraId="649B4AC8" w14:textId="77777777" w:rsidR="00281246" w:rsidRPr="00E94510" w:rsidRDefault="00743AC7">
      <w:pPr>
        <w:numPr>
          <w:ilvl w:val="0"/>
          <w:numId w:val="7"/>
        </w:numPr>
        <w:spacing w:after="220"/>
        <w:rPr>
          <w:b/>
          <w:lang w:val="en-GB"/>
        </w:rPr>
      </w:pPr>
      <w:r w:rsidRPr="00E94510">
        <w:rPr>
          <w:b/>
          <w:lang w:val="en-GB"/>
        </w:rPr>
        <w:t xml:space="preserve">Ensure consistency of the EU’s </w:t>
      </w:r>
      <w:r w:rsidRPr="00F37317">
        <w:rPr>
          <w:b/>
          <w:highlight w:val="yellow"/>
          <w:lang w:val="en-GB"/>
        </w:rPr>
        <w:t>GSP policy with the other relevant EU’s policies, including the EU’s policy against IUU fishing</w:t>
      </w:r>
      <w:r w:rsidRPr="00E94510">
        <w:rPr>
          <w:b/>
          <w:lang w:val="en-GB"/>
        </w:rPr>
        <w:t>.</w:t>
      </w:r>
    </w:p>
    <w:bookmarkEnd w:id="12"/>
    <w:p w14:paraId="327F8EBC" w14:textId="40495711" w:rsidR="00281246" w:rsidRPr="00E94510" w:rsidRDefault="00743AC7">
      <w:pPr>
        <w:widowControl w:val="0"/>
        <w:rPr>
          <w:lang w:val="en-GB"/>
        </w:rPr>
      </w:pPr>
      <w:r w:rsidRPr="00E94510">
        <w:rPr>
          <w:b/>
          <w:lang w:val="en-GB"/>
        </w:rPr>
        <w:lastRenderedPageBreak/>
        <w:tab/>
        <w:t>2.1.2 - Other trade arrangements</w:t>
      </w:r>
    </w:p>
    <w:p w14:paraId="629397CA" w14:textId="1CD3BD66" w:rsidR="00281246" w:rsidRDefault="00743AC7">
      <w:pPr>
        <w:widowControl w:val="0"/>
        <w:rPr>
          <w:lang w:val="en-GB"/>
        </w:rPr>
      </w:pPr>
      <w:r w:rsidRPr="00E94510">
        <w:rPr>
          <w:lang w:val="en-GB"/>
        </w:rPr>
        <w:t>In addition to the GSP, EU seafood imports can benefit from tariff preferences under other arrangements negotiated with third countries (</w:t>
      </w:r>
      <w:r w:rsidR="00CD7399" w:rsidRPr="00E94510">
        <w:rPr>
          <w:lang w:val="en-GB"/>
        </w:rPr>
        <w:t>e.g.,</w:t>
      </w:r>
      <w:r w:rsidRPr="00E94510">
        <w:rPr>
          <w:lang w:val="en-GB"/>
        </w:rPr>
        <w:t xml:space="preserve"> FTAs and (interim) Economic Partnership Agreements). The concept of level playing field does not imply that all states have adopted exactly the same legal framework along the value chain for seafood products, however it requires a minimum of fundamental standards. This is even more important for trade relations between partners who are comparable in terms of economic power, </w:t>
      </w:r>
      <w:r w:rsidR="00CD7399" w:rsidRPr="00E94510">
        <w:rPr>
          <w:lang w:val="en-GB"/>
        </w:rPr>
        <w:t>e.g.,</w:t>
      </w:r>
      <w:r w:rsidRPr="00E94510">
        <w:rPr>
          <w:lang w:val="en-GB"/>
        </w:rPr>
        <w:t xml:space="preserve"> between countries that are considered high or upper </w:t>
      </w:r>
      <w:r w:rsidR="005F185B" w:rsidRPr="00E94510">
        <w:rPr>
          <w:lang w:val="en-GB"/>
        </w:rPr>
        <w:t>middle-income</w:t>
      </w:r>
      <w:r w:rsidRPr="00E94510">
        <w:rPr>
          <w:lang w:val="en-GB"/>
        </w:rPr>
        <w:t xml:space="preserve"> countries according to the World Bank</w:t>
      </w:r>
      <w:r w:rsidRPr="00E94510">
        <w:rPr>
          <w:vertAlign w:val="superscript"/>
          <w:lang w:val="en-GB"/>
        </w:rPr>
        <w:footnoteReference w:id="95"/>
      </w:r>
      <w:r w:rsidRPr="00E94510">
        <w:rPr>
          <w:lang w:val="en-GB"/>
        </w:rPr>
        <w:t xml:space="preserve">. The EU is at the forefront of numerous questions such as high working standards, environmental protection, sustainable use of natural resources or the ecological transition in a broader sense. The whole package of the Green Deal aims to transform the European economy, but this means that economic operators will have costs of adaptation and probably also more operational costs in the future. For the sake of promoting and effectively implementing all SDGs, the EU must assure that not only its own actors increase their efforts, but also its trading partners, and specifically those with similar economic characteristics as described above. In the case that the EU allows imports of third countries with significantly lower requirements, it not only endangers the achievement of a greener economy worldwide but also risks the weakening of the European seafood business, and eventually employment. </w:t>
      </w:r>
    </w:p>
    <w:p w14:paraId="49E9B02A" w14:textId="2A3C3DDF" w:rsidR="000A7FCD" w:rsidRPr="00E94510" w:rsidRDefault="000A7FCD">
      <w:pPr>
        <w:widowControl w:val="0"/>
        <w:rPr>
          <w:lang w:val="en-GB"/>
        </w:rPr>
      </w:pPr>
      <w:r w:rsidRPr="00E94510">
        <w:rPr>
          <w:lang w:val="en-GB"/>
        </w:rPr>
        <w:t>FTAs include chapters on sustainable development, but these should be reinforced and address specific fishery concerns such as the requirements of the IUU Regulation.</w:t>
      </w:r>
      <w:r>
        <w:rPr>
          <w:lang w:val="en-GB"/>
        </w:rPr>
        <w:t xml:space="preserve"> </w:t>
      </w:r>
      <w:r w:rsidRPr="00E94510">
        <w:rPr>
          <w:lang w:val="en-GB"/>
        </w:rPr>
        <w:t>FTAs should also incorporate a binding dispute settlement mechanism (that includes government-to government consultations, a panel procedure, public access to documents and the consultation of civil society), accompanied by the possibility of applying sanctions in case of non-compliance with the third countries international commitments.</w:t>
      </w:r>
    </w:p>
    <w:p w14:paraId="533303E3" w14:textId="565207EE" w:rsidR="00281246" w:rsidRPr="00E94510" w:rsidRDefault="00743AC7">
      <w:pPr>
        <w:widowControl w:val="0"/>
        <w:rPr>
          <w:lang w:val="en-GB"/>
        </w:rPr>
      </w:pPr>
      <w:r w:rsidRPr="006A0AFE">
        <w:rPr>
          <w:lang w:val="en-GB"/>
        </w:rPr>
        <w:t>It is recalled that the LDAC published an opinion on ATQs for tuna loins in July 2020 to inform the preparation of the set of ATQs that replaced those established under Council Regulation (EU) 2018/1977</w:t>
      </w:r>
      <w:r w:rsidRPr="006A0AFE">
        <w:rPr>
          <w:vertAlign w:val="superscript"/>
          <w:lang w:val="en-GB"/>
        </w:rPr>
        <w:footnoteReference w:id="96"/>
      </w:r>
      <w:r w:rsidRPr="006A0AFE">
        <w:rPr>
          <w:lang w:val="en-GB"/>
        </w:rPr>
        <w:t>. This opinion contained a set of recommendations to the European Commission and a minority position</w:t>
      </w:r>
      <w:r w:rsidRPr="006A0AFE">
        <w:rPr>
          <w:vertAlign w:val="superscript"/>
          <w:lang w:val="en-GB"/>
        </w:rPr>
        <w:footnoteReference w:id="97"/>
      </w:r>
      <w:r w:rsidR="006A0AFE">
        <w:rPr>
          <w:lang w:val="en-GB"/>
        </w:rPr>
        <w:t>.</w:t>
      </w:r>
    </w:p>
    <w:p w14:paraId="5C1810DE" w14:textId="77777777" w:rsidR="00281246" w:rsidRPr="00E94510" w:rsidRDefault="00743AC7">
      <w:pPr>
        <w:widowControl w:val="0"/>
        <w:rPr>
          <w:lang w:val="en-GB"/>
        </w:rPr>
      </w:pPr>
      <w:r w:rsidRPr="00E94510">
        <w:rPr>
          <w:b/>
          <w:lang w:val="en-GB"/>
        </w:rPr>
        <w:t>Recommendations</w:t>
      </w:r>
      <w:r w:rsidRPr="00E94510">
        <w:rPr>
          <w:lang w:val="en-GB"/>
        </w:rPr>
        <w:t>:</w:t>
      </w:r>
    </w:p>
    <w:p w14:paraId="224C0CD6" w14:textId="54212232" w:rsidR="00281246" w:rsidRPr="00E94510" w:rsidRDefault="00743AC7">
      <w:pPr>
        <w:widowControl w:val="0"/>
        <w:rPr>
          <w:lang w:val="en-GB"/>
        </w:rPr>
      </w:pPr>
      <w:r w:rsidRPr="00E94510">
        <w:rPr>
          <w:lang w:val="en-GB"/>
        </w:rPr>
        <w:t>In view of the above, the LDAC would like to make the following recommendations to the E</w:t>
      </w:r>
      <w:r w:rsidR="00CD7399">
        <w:rPr>
          <w:lang w:val="en-GB"/>
        </w:rPr>
        <w:t>C, to:</w:t>
      </w:r>
    </w:p>
    <w:p w14:paraId="5A952EB4" w14:textId="77777777" w:rsidR="00281246" w:rsidRPr="00E94510" w:rsidRDefault="00743AC7">
      <w:pPr>
        <w:widowControl w:val="0"/>
        <w:numPr>
          <w:ilvl w:val="0"/>
          <w:numId w:val="7"/>
        </w:numPr>
        <w:spacing w:before="200"/>
        <w:rPr>
          <w:b/>
          <w:lang w:val="en-GB"/>
        </w:rPr>
      </w:pPr>
      <w:r w:rsidRPr="00E94510">
        <w:rPr>
          <w:b/>
          <w:lang w:val="en-GB"/>
        </w:rPr>
        <w:t>Assure that not only its own actors increase their efforts, but also its trading partners, and specifically those with similar economic characteristics.</w:t>
      </w:r>
    </w:p>
    <w:p w14:paraId="282D9BBD" w14:textId="77777777" w:rsidR="00281246" w:rsidRPr="00E94510" w:rsidRDefault="00743AC7">
      <w:pPr>
        <w:widowControl w:val="0"/>
        <w:numPr>
          <w:ilvl w:val="0"/>
          <w:numId w:val="7"/>
        </w:numPr>
        <w:spacing w:before="200"/>
        <w:rPr>
          <w:b/>
          <w:lang w:val="en-GB"/>
        </w:rPr>
      </w:pPr>
      <w:r w:rsidRPr="00E94510">
        <w:rPr>
          <w:b/>
          <w:lang w:val="en-GB"/>
        </w:rPr>
        <w:t>Reinforce chapters on sustainable development in FTAs and address specific fishery concerns.</w:t>
      </w:r>
    </w:p>
    <w:p w14:paraId="78BC6E29" w14:textId="280EC3B5" w:rsidR="00281246" w:rsidRDefault="00743AC7">
      <w:pPr>
        <w:widowControl w:val="0"/>
        <w:numPr>
          <w:ilvl w:val="0"/>
          <w:numId w:val="7"/>
        </w:numPr>
        <w:rPr>
          <w:b/>
          <w:lang w:val="en-GB"/>
        </w:rPr>
      </w:pPr>
      <w:r w:rsidRPr="00E94510">
        <w:rPr>
          <w:b/>
          <w:lang w:val="en-GB"/>
        </w:rPr>
        <w:t>Incorporate into FTAs a binding dispute settlement mechanism accompanied by the possibility of applying sanctions in case of non-compliance with the third countries international commitments.</w:t>
      </w:r>
    </w:p>
    <w:p w14:paraId="5976CCD8" w14:textId="77777777" w:rsidR="001E7EE9" w:rsidRDefault="001E7EE9" w:rsidP="001E7EE9">
      <w:pPr>
        <w:widowControl w:val="0"/>
        <w:ind w:left="720"/>
        <w:rPr>
          <w:b/>
          <w:lang w:val="en-GB"/>
        </w:rPr>
      </w:pPr>
    </w:p>
    <w:p w14:paraId="56D61107" w14:textId="7E435EBC" w:rsidR="009A0DAA" w:rsidRPr="001E7EE9" w:rsidRDefault="00FB4F14" w:rsidP="00FB4F14">
      <w:pPr>
        <w:widowControl w:val="0"/>
        <w:numPr>
          <w:ilvl w:val="0"/>
          <w:numId w:val="7"/>
        </w:numPr>
        <w:rPr>
          <w:b/>
          <w:color w:val="FF0000"/>
          <w:lang w:val="en-GB"/>
        </w:rPr>
      </w:pPr>
      <w:r w:rsidRPr="001E7EE9">
        <w:rPr>
          <w:b/>
          <w:lang w:val="en-US"/>
        </w:rPr>
        <w:t xml:space="preserve">Ensure that </w:t>
      </w:r>
      <w:r w:rsidR="00B80227" w:rsidRPr="001E7EE9">
        <w:rPr>
          <w:b/>
          <w:lang w:val="en-US"/>
        </w:rPr>
        <w:t xml:space="preserve">negotiations </w:t>
      </w:r>
      <w:r w:rsidR="00A45983" w:rsidRPr="001E7EE9">
        <w:rPr>
          <w:b/>
          <w:lang w:val="en-US"/>
        </w:rPr>
        <w:t xml:space="preserve">on </w:t>
      </w:r>
      <w:r w:rsidRPr="001E7EE9">
        <w:rPr>
          <w:b/>
          <w:lang w:val="en-US"/>
        </w:rPr>
        <w:t>reciprocal free access to waters, ports, business ownership, investments and services are not separated fro</w:t>
      </w:r>
      <w:r w:rsidR="00913A8F" w:rsidRPr="001E7EE9">
        <w:rPr>
          <w:b/>
          <w:lang w:val="en-US"/>
        </w:rPr>
        <w:t xml:space="preserve">m negotiations on </w:t>
      </w:r>
      <w:r w:rsidR="005C7546" w:rsidRPr="001E7EE9">
        <w:rPr>
          <w:b/>
          <w:lang w:val="en-US"/>
        </w:rPr>
        <w:t>reciprocal free trade.</w:t>
      </w:r>
      <w:r w:rsidRPr="001E7EE9">
        <w:rPr>
          <w:b/>
          <w:color w:val="FF0000"/>
          <w:lang w:val="en-US"/>
        </w:rPr>
        <w:t xml:space="preserve"> </w:t>
      </w:r>
    </w:p>
    <w:p w14:paraId="6D95DF6A" w14:textId="6C215C12" w:rsidR="00FB4F14" w:rsidRPr="00DE4446" w:rsidRDefault="00DE4446" w:rsidP="00FB4F14">
      <w:pPr>
        <w:widowControl w:val="0"/>
        <w:numPr>
          <w:ilvl w:val="0"/>
          <w:numId w:val="7"/>
        </w:numPr>
        <w:rPr>
          <w:b/>
          <w:color w:val="FF0000"/>
          <w:lang w:val="en-GB"/>
        </w:rPr>
      </w:pPr>
      <w:r w:rsidRPr="00DE4446">
        <w:rPr>
          <w:b/>
          <w:lang w:val="en-GB"/>
        </w:rPr>
        <w:t>Secure the need to level the playing field between European industries that implement ambitious climate, environmental, ecological and social standards, and those trade partners that do not pursue the same high standards.</w:t>
      </w:r>
    </w:p>
    <w:p w14:paraId="6FB9BDEB" w14:textId="6164AFBE" w:rsidR="00A23A47" w:rsidRPr="007A798E" w:rsidRDefault="00DE4446" w:rsidP="00CD7399">
      <w:pPr>
        <w:widowControl w:val="0"/>
        <w:ind w:left="720"/>
        <w:rPr>
          <w:b/>
          <w:lang w:val="en-GB"/>
        </w:rPr>
      </w:pPr>
      <w:r w:rsidRPr="005523BB">
        <w:rPr>
          <w:b/>
          <w:lang w:val="en-GB"/>
        </w:rPr>
        <w:t>Where import duties need to be suspended or reduced for fishery products to ensure that there is an adequate supply to the Union’s market, ensure fair competition between imported fishery products and Union fishery products by taking into consideration the impact of the measures on the competitiveness of Union fish producers and ensure they respect Europe’s high norms and standards in sensitive sectors &amp; human rights.</w:t>
      </w:r>
    </w:p>
    <w:p w14:paraId="5BC5DDAF" w14:textId="77777777" w:rsidR="001E7EE9" w:rsidRDefault="001E7EE9" w:rsidP="007A56D1">
      <w:pPr>
        <w:widowControl w:val="0"/>
        <w:ind w:left="220"/>
        <w:jc w:val="left"/>
        <w:rPr>
          <w:b/>
          <w:lang w:val="en-GB"/>
        </w:rPr>
      </w:pPr>
    </w:p>
    <w:p w14:paraId="6FDB0630" w14:textId="3D9D6F5B" w:rsidR="00281246" w:rsidRPr="00E94510" w:rsidRDefault="00743AC7" w:rsidP="007A56D1">
      <w:pPr>
        <w:widowControl w:val="0"/>
        <w:ind w:left="220"/>
        <w:jc w:val="left"/>
        <w:rPr>
          <w:color w:val="4F81BD"/>
          <w:highlight w:val="yellow"/>
          <w:lang w:val="en-GB"/>
        </w:rPr>
      </w:pPr>
      <w:r w:rsidRPr="00E94510">
        <w:rPr>
          <w:b/>
          <w:lang w:val="en-GB"/>
        </w:rPr>
        <w:t>2.2 - Other import-related considerations: food safety and sustainability standard requirements</w:t>
      </w:r>
    </w:p>
    <w:p w14:paraId="408963D6" w14:textId="77777777" w:rsidR="00281246" w:rsidRPr="00E94510" w:rsidRDefault="00743AC7">
      <w:pPr>
        <w:widowControl w:val="0"/>
        <w:spacing w:before="240"/>
        <w:rPr>
          <w:lang w:val="en-GB"/>
        </w:rPr>
      </w:pPr>
      <w:r w:rsidRPr="00E94510">
        <w:rPr>
          <w:lang w:val="en-GB"/>
        </w:rPr>
        <w:t xml:space="preserve">According to EU regulations imports are subject to control schemes, among others, sanitary and customs control before being introduced into the Union territory and, if applicable, have to pay the corresponding tariffs. </w:t>
      </w:r>
    </w:p>
    <w:p w14:paraId="71C7E114" w14:textId="216AC942" w:rsidR="00281246" w:rsidRPr="00E94510" w:rsidRDefault="00743AC7">
      <w:pPr>
        <w:widowControl w:val="0"/>
        <w:spacing w:before="240"/>
        <w:rPr>
          <w:lang w:val="en-GB"/>
        </w:rPr>
      </w:pPr>
      <w:r w:rsidRPr="00E94510">
        <w:rPr>
          <w:lang w:val="en-GB"/>
        </w:rPr>
        <w:t>In 2017, the European Court of Auditors published the special report No. 19/2017 with the title “Import procedures: shortcomings in the legal framework and an ineffective implementation impact the financial interests of the EU”</w:t>
      </w:r>
      <w:r w:rsidRPr="00E94510">
        <w:rPr>
          <w:vertAlign w:val="superscript"/>
          <w:lang w:val="en-GB"/>
        </w:rPr>
        <w:footnoteReference w:id="98"/>
      </w:r>
      <w:r w:rsidRPr="00E94510">
        <w:rPr>
          <w:lang w:val="en-GB"/>
        </w:rPr>
        <w:t>. In this report, the Court of Auditors notes that they “</w:t>
      </w:r>
      <w:r w:rsidRPr="00E94510">
        <w:rPr>
          <w:i/>
          <w:lang w:val="en-GB"/>
        </w:rPr>
        <w:t>(…) found serious weaknesses indicating that there are shortcomings in the customs legal framework as well as an ineffective implementation of customs controls on imports and this adversely affects the financial interests of the EU</w:t>
      </w:r>
      <w:r w:rsidRPr="00E94510">
        <w:rPr>
          <w:lang w:val="en-GB"/>
        </w:rPr>
        <w:t>”</w:t>
      </w:r>
      <w:r w:rsidR="000C0A88">
        <w:rPr>
          <w:lang w:val="en-GB"/>
        </w:rPr>
        <w:t>.</w:t>
      </w:r>
      <w:r w:rsidRPr="00E94510">
        <w:rPr>
          <w:lang w:val="en-GB"/>
        </w:rPr>
        <w:t xml:space="preserve"> Several activities were identified, such as “(…) (a) </w:t>
      </w:r>
      <w:r w:rsidR="000E7034" w:rsidRPr="00E94510">
        <w:rPr>
          <w:i/>
          <w:lang w:val="en-GB"/>
        </w:rPr>
        <w:t>undervaluation,</w:t>
      </w:r>
      <w:r w:rsidRPr="00E94510">
        <w:rPr>
          <w:i/>
          <w:lang w:val="en-GB"/>
        </w:rPr>
        <w:t xml:space="preserve"> </w:t>
      </w:r>
      <w:r w:rsidR="005F185B" w:rsidRPr="00E94510">
        <w:rPr>
          <w:i/>
          <w:lang w:val="en-GB"/>
        </w:rPr>
        <w:t>i.e.,</w:t>
      </w:r>
      <w:r w:rsidRPr="00E94510">
        <w:rPr>
          <w:i/>
          <w:lang w:val="en-GB"/>
        </w:rPr>
        <w:t xml:space="preserve"> when the importer declares a value of imported goods which is lower than the actual value, often accompanied by the presentation of fake commercial documents; (b) misdescription of origin, where the importer declares a false country of origin of the imported goods; (c) misclassification, by shifting to a product classification with a lower duty rate; or (d) a combination of the above</w:t>
      </w:r>
      <w:r w:rsidR="000C0A88">
        <w:rPr>
          <w:lang w:val="en-GB"/>
        </w:rPr>
        <w:t>”.</w:t>
      </w:r>
    </w:p>
    <w:p w14:paraId="1C12C264" w14:textId="403D1AE6" w:rsidR="00281246" w:rsidRPr="00E94510" w:rsidRDefault="00743AC7">
      <w:pPr>
        <w:widowControl w:val="0"/>
        <w:spacing w:before="240"/>
        <w:rPr>
          <w:lang w:val="en-GB"/>
        </w:rPr>
      </w:pPr>
      <w:r w:rsidRPr="00E94510">
        <w:rPr>
          <w:lang w:val="en-GB"/>
        </w:rPr>
        <w:t xml:space="preserve">These kinds of practices not only have negative impacts on the European treasury, but also on </w:t>
      </w:r>
      <w:r w:rsidR="000A7FCD">
        <w:rPr>
          <w:lang w:val="en-GB"/>
        </w:rPr>
        <w:t>the</w:t>
      </w:r>
      <w:r w:rsidRPr="00E94510">
        <w:rPr>
          <w:lang w:val="en-GB"/>
        </w:rPr>
        <w:t xml:space="preserve"> level playing field: importers following such practices seek a commercial advantage towards their European competitors and those who comply with the norms since they can introduce their products on the Community market with less costs. </w:t>
      </w:r>
    </w:p>
    <w:p w14:paraId="5E8ACF2C" w14:textId="4BD7B257" w:rsidR="00CD7399" w:rsidRDefault="00743AC7" w:rsidP="001E7EE9">
      <w:pPr>
        <w:widowControl w:val="0"/>
        <w:spacing w:before="240"/>
        <w:rPr>
          <w:lang w:val="en-GB"/>
        </w:rPr>
      </w:pPr>
      <w:r w:rsidRPr="00E94510">
        <w:rPr>
          <w:highlight w:val="white"/>
          <w:lang w:val="en-GB"/>
        </w:rPr>
        <w:t>As an example, the International Labour Organization (ILO) has pointed out that in the fishing industry, the salaries of workers represent between 30% and 50% of the operating costs, which is why, in many regions of the world, there are operators who try to reduce labour costs through harmful or unlawful practices</w:t>
      </w:r>
      <w:r w:rsidRPr="00E94510">
        <w:rPr>
          <w:highlight w:val="white"/>
          <w:vertAlign w:val="superscript"/>
          <w:lang w:val="en-GB"/>
        </w:rPr>
        <w:footnoteReference w:id="99"/>
      </w:r>
      <w:r w:rsidRPr="00E94510">
        <w:rPr>
          <w:highlight w:val="white"/>
          <w:lang w:val="en-GB"/>
        </w:rPr>
        <w:t>. EU efforts to make fishing sustainable and socially responsible are incompatible with importing products from certain countries that show little concern for sustainability and social accountability.</w:t>
      </w:r>
    </w:p>
    <w:p w14:paraId="32F78C33" w14:textId="32FF9831" w:rsidR="00281246" w:rsidRPr="00E94510" w:rsidRDefault="00743AC7">
      <w:pPr>
        <w:widowControl w:val="0"/>
        <w:spacing w:before="240"/>
        <w:rPr>
          <w:color w:val="548DD4"/>
          <w:lang w:val="en-GB"/>
        </w:rPr>
      </w:pPr>
      <w:r w:rsidRPr="00E94510">
        <w:rPr>
          <w:lang w:val="en-GB"/>
        </w:rPr>
        <w:lastRenderedPageBreak/>
        <w:t>Ensuring uniform customs application and identical customs controls between all Member States is essential to prevent third-country operators from using entry points in the internal market with fewer controls to introduce non-compliant merchandise or to avoid paying the corresponding duty. It is important to ensure a level playing field not only at the international level, but also among the Member States themselves.</w:t>
      </w:r>
    </w:p>
    <w:p w14:paraId="182DB11B" w14:textId="76466C61" w:rsidR="000F30B9" w:rsidRDefault="000A7FCD">
      <w:pPr>
        <w:widowControl w:val="0"/>
        <w:spacing w:before="240"/>
        <w:rPr>
          <w:lang w:val="en-GB"/>
        </w:rPr>
      </w:pPr>
      <w:r w:rsidRPr="001E7EE9">
        <w:rPr>
          <w:lang w:val="en-GB"/>
        </w:rPr>
        <w:t>On another note, i</w:t>
      </w:r>
      <w:r w:rsidR="00743AC7" w:rsidRPr="001E7EE9">
        <w:rPr>
          <w:lang w:val="en-GB"/>
        </w:rPr>
        <w:t>nformation on the country of origin</w:t>
      </w:r>
      <w:r w:rsidR="00B16E27" w:rsidRPr="001E7EE9">
        <w:rPr>
          <w:lang w:val="en-GB"/>
        </w:rPr>
        <w:t xml:space="preserve"> or provenance</w:t>
      </w:r>
      <w:r w:rsidR="00743AC7" w:rsidRPr="001E7EE9">
        <w:rPr>
          <w:lang w:val="en-GB"/>
        </w:rPr>
        <w:t xml:space="preserve"> is of </w:t>
      </w:r>
      <w:r w:rsidR="00B16E27" w:rsidRPr="001E7EE9">
        <w:rPr>
          <w:lang w:val="en-GB"/>
        </w:rPr>
        <w:t xml:space="preserve">increasing </w:t>
      </w:r>
      <w:r w:rsidR="00743AC7" w:rsidRPr="001E7EE9">
        <w:rPr>
          <w:lang w:val="en-GB"/>
        </w:rPr>
        <w:t xml:space="preserve">importance to </w:t>
      </w:r>
      <w:r w:rsidR="00EC7B26" w:rsidRPr="001E7EE9">
        <w:rPr>
          <w:lang w:val="en-GB"/>
        </w:rPr>
        <w:t xml:space="preserve"> </w:t>
      </w:r>
      <w:r w:rsidR="00743AC7" w:rsidRPr="001E7EE9">
        <w:rPr>
          <w:lang w:val="en-GB"/>
        </w:rPr>
        <w:t>consumers,</w:t>
      </w:r>
      <w:r w:rsidR="00743AC7" w:rsidRPr="00E94510">
        <w:rPr>
          <w:lang w:val="en-GB"/>
        </w:rPr>
        <w:t xml:space="preserve"> however existing legislation permits to combine</w:t>
      </w:r>
      <w:r w:rsidR="00B16E27">
        <w:rPr>
          <w:lang w:val="en-GB"/>
        </w:rPr>
        <w:t xml:space="preserve"> different origin and provenance in processing</w:t>
      </w:r>
      <w:r w:rsidR="00743AC7" w:rsidRPr="00E94510">
        <w:rPr>
          <w:lang w:val="en-GB"/>
        </w:rPr>
        <w:t xml:space="preserve"> lines without</w:t>
      </w:r>
      <w:r w:rsidR="00B16E27">
        <w:rPr>
          <w:lang w:val="en-GB"/>
        </w:rPr>
        <w:t xml:space="preserve"> prejudice to</w:t>
      </w:r>
      <w:r w:rsidR="00743AC7" w:rsidRPr="00E94510">
        <w:rPr>
          <w:lang w:val="en-GB"/>
        </w:rPr>
        <w:t xml:space="preserve"> the obligation to declare the origin </w:t>
      </w:r>
      <w:r w:rsidR="00B16E27">
        <w:rPr>
          <w:lang w:val="en-GB"/>
        </w:rPr>
        <w:t xml:space="preserve">or provenance </w:t>
      </w:r>
      <w:r w:rsidR="00743AC7" w:rsidRPr="00E94510">
        <w:rPr>
          <w:lang w:val="en-GB"/>
        </w:rPr>
        <w:t>of the</w:t>
      </w:r>
      <w:r w:rsidR="00B16E27">
        <w:rPr>
          <w:lang w:val="en-GB"/>
        </w:rPr>
        <w:t xml:space="preserve"> raw material except under the new Regulation 2018/775 which </w:t>
      </w:r>
      <w:r w:rsidR="00B73CE5" w:rsidRPr="00E24ABA">
        <w:rPr>
          <w:lang w:val="en-GB"/>
        </w:rPr>
        <w:t>aims at preventing misleading food information by addressing</w:t>
      </w:r>
      <w:r w:rsidR="00B16E27" w:rsidRPr="00E24ABA">
        <w:rPr>
          <w:lang w:val="en-GB"/>
        </w:rPr>
        <w:t xml:space="preserve"> the case where the labelled origin or provenance of the food is not the same as origin or provenance of the main ingredient</w:t>
      </w:r>
      <w:r w:rsidR="000613E8" w:rsidRPr="00E24ABA">
        <w:rPr>
          <w:lang w:val="en-GB"/>
        </w:rPr>
        <w:t>.</w:t>
      </w:r>
      <w:r w:rsidR="00743AC7" w:rsidRPr="00E94510">
        <w:rPr>
          <w:lang w:val="en-GB"/>
        </w:rPr>
        <w:t xml:space="preserve"> Additionally, prepared, processed and preserved fishery products are exempted from mandatory origin provisions (Article 35 of Regulation (EU) No 1379/2013). </w:t>
      </w:r>
    </w:p>
    <w:p w14:paraId="5DCA3DBE" w14:textId="04EEBBD4" w:rsidR="00281246" w:rsidRPr="00E94510" w:rsidRDefault="00743AC7">
      <w:pPr>
        <w:widowControl w:val="0"/>
        <w:spacing w:before="240"/>
        <w:rPr>
          <w:lang w:val="en-GB"/>
        </w:rPr>
      </w:pPr>
      <w:r w:rsidRPr="00E94510">
        <w:rPr>
          <w:lang w:val="en-GB"/>
        </w:rPr>
        <w:t>Moreover, according to the DG MARE, the</w:t>
      </w:r>
      <w:r w:rsidR="00B16E27">
        <w:rPr>
          <w:lang w:val="en-GB"/>
        </w:rPr>
        <w:t xml:space="preserve"> freshness and size </w:t>
      </w:r>
      <w:r w:rsidRPr="00E94510">
        <w:rPr>
          <w:lang w:val="en-GB"/>
        </w:rPr>
        <w:t xml:space="preserve">marketing standards apply to 75% of EU landings, but to less than 10% of imports (excluded filets and frozen fish), hereby again indicating an unlevel playing field for the EU fishing fleet. </w:t>
      </w:r>
      <w:r w:rsidR="00B16E27" w:rsidRPr="00E94510">
        <w:rPr>
          <w:lang w:val="en-GB"/>
        </w:rPr>
        <w:t>Firstly,</w:t>
      </w:r>
      <w:r w:rsidRPr="00E94510">
        <w:rPr>
          <w:lang w:val="en-GB"/>
        </w:rPr>
        <w:t xml:space="preserve"> among EU and non-EU producers, and secondly among the EU catching industry and processors as the first have to declare relevant information that must accompany the fish lot throughout all the stages of the value chain to the final delivery in destiny, including the fishing trip, flag state, and fishing area,</w:t>
      </w:r>
      <w:r w:rsidR="00FF5385">
        <w:rPr>
          <w:lang w:val="en-GB"/>
        </w:rPr>
        <w:t xml:space="preserve"> w</w:t>
      </w:r>
      <w:r w:rsidR="00FF5385" w:rsidRPr="008B3045">
        <w:rPr>
          <w:lang w:val="en-GB"/>
        </w:rPr>
        <w:t>hich are mandatory to include on the product label for fresh and frozen products, not for processed products</w:t>
      </w:r>
      <w:r w:rsidRPr="00E94510">
        <w:rPr>
          <w:lang w:val="en-GB"/>
        </w:rPr>
        <w:t xml:space="preserve">. </w:t>
      </w:r>
      <w:r w:rsidR="00B16E27">
        <w:rPr>
          <w:lang w:val="en-GB"/>
        </w:rPr>
        <w:t xml:space="preserve">Of course, </w:t>
      </w:r>
      <w:r w:rsidR="000A7FCD">
        <w:rPr>
          <w:lang w:val="en-GB"/>
        </w:rPr>
        <w:t>the LDAC</w:t>
      </w:r>
      <w:r w:rsidR="00B16E27">
        <w:rPr>
          <w:lang w:val="en-GB"/>
        </w:rPr>
        <w:t xml:space="preserve"> understand</w:t>
      </w:r>
      <w:r w:rsidR="000A7FCD">
        <w:rPr>
          <w:lang w:val="en-GB"/>
        </w:rPr>
        <w:t>s</w:t>
      </w:r>
      <w:r w:rsidR="00B16E27">
        <w:rPr>
          <w:lang w:val="en-GB"/>
        </w:rPr>
        <w:t xml:space="preserve"> there is a need to consider and evaluate the operational issues that </w:t>
      </w:r>
      <w:r w:rsidR="00EC7B26">
        <w:rPr>
          <w:lang w:val="en-GB"/>
        </w:rPr>
        <w:t>a mandatory change</w:t>
      </w:r>
      <w:r w:rsidR="00B16E27">
        <w:rPr>
          <w:lang w:val="en-GB"/>
        </w:rPr>
        <w:t xml:space="preserve"> </w:t>
      </w:r>
      <w:r w:rsidR="00EC7B26">
        <w:rPr>
          <w:lang w:val="en-GB"/>
        </w:rPr>
        <w:t xml:space="preserve">would </w:t>
      </w:r>
      <w:r w:rsidR="00B16E27">
        <w:rPr>
          <w:lang w:val="en-GB"/>
        </w:rPr>
        <w:t xml:space="preserve">create before implementing any change in the current legislation.  </w:t>
      </w:r>
    </w:p>
    <w:p w14:paraId="32AF8B39" w14:textId="3262E2B3" w:rsidR="00281246" w:rsidRPr="00E94510" w:rsidRDefault="00743AC7">
      <w:pPr>
        <w:widowControl w:val="0"/>
        <w:spacing w:before="240"/>
        <w:rPr>
          <w:lang w:val="en-GB"/>
        </w:rPr>
      </w:pPr>
      <w:r w:rsidRPr="00E94510">
        <w:rPr>
          <w:lang w:val="en-GB"/>
        </w:rPr>
        <w:t xml:space="preserve">The EU fishing fleet has to compete with the products offered by third country fleets, which </w:t>
      </w:r>
      <w:r w:rsidR="009E57EB">
        <w:rPr>
          <w:lang w:val="en-GB"/>
        </w:rPr>
        <w:t>could</w:t>
      </w:r>
      <w:r w:rsidR="009E57EB" w:rsidRPr="00E94510">
        <w:rPr>
          <w:lang w:val="en-GB"/>
        </w:rPr>
        <w:t xml:space="preserve"> </w:t>
      </w:r>
      <w:r w:rsidRPr="00E94510">
        <w:rPr>
          <w:lang w:val="en-GB"/>
        </w:rPr>
        <w:t>offer their fishery products at a lower price, even more in the case of applicable preferential trade agreements or ATQs</w:t>
      </w:r>
      <w:r w:rsidR="009E57EB">
        <w:rPr>
          <w:lang w:val="en-GB"/>
        </w:rPr>
        <w:t>, being a free market</w:t>
      </w:r>
      <w:r w:rsidRPr="00E94510">
        <w:rPr>
          <w:lang w:val="en-GB"/>
        </w:rPr>
        <w:t>. Namely, the EU fishing fleet is complying with the highest standards for the benefit of environmental, social, and economic sustainability, which are often costly requirements. This unbalance of standards between EU and non-EU fishing vessels deprives the industry from a level playing field</w:t>
      </w:r>
      <w:r w:rsidR="00FF5385">
        <w:rPr>
          <w:lang w:val="en-GB"/>
        </w:rPr>
        <w:t xml:space="preserve"> and might have indirect implications in relation to information to consumers</w:t>
      </w:r>
      <w:r w:rsidRPr="00E94510">
        <w:rPr>
          <w:lang w:val="en-GB"/>
        </w:rPr>
        <w:t xml:space="preserve">. This is </w:t>
      </w:r>
      <w:r w:rsidR="00E0274C">
        <w:rPr>
          <w:lang w:val="en-GB"/>
        </w:rPr>
        <w:t xml:space="preserve">in contradiction with </w:t>
      </w:r>
      <w:r w:rsidRPr="00E94510">
        <w:rPr>
          <w:lang w:val="en-GB"/>
        </w:rPr>
        <w:t xml:space="preserve">a key objective of the Customs Unions, the Common Commercial Policy, and the CFP, which is to ensure an equitable internal market and fair competition, regardless of the product’s origin. </w:t>
      </w:r>
    </w:p>
    <w:p w14:paraId="137CE473" w14:textId="67437763" w:rsidR="00281246" w:rsidRPr="00E94510" w:rsidRDefault="008A6CE5">
      <w:pPr>
        <w:widowControl w:val="0"/>
        <w:spacing w:before="240"/>
        <w:rPr>
          <w:lang w:val="en-GB"/>
        </w:rPr>
      </w:pPr>
      <w:r w:rsidRPr="00EA1A75">
        <w:rPr>
          <w:lang w:val="en-GB"/>
        </w:rPr>
        <w:t>When exporting, more than 50% annually according to EUMOFA</w:t>
      </w:r>
      <w:r w:rsidR="00E24ABA" w:rsidRPr="00E24ABA">
        <w:rPr>
          <w:rStyle w:val="FootnoteReference"/>
          <w:lang w:val="en-GB"/>
        </w:rPr>
        <w:footnoteReference w:id="100"/>
      </w:r>
      <w:r w:rsidR="00743AC7" w:rsidRPr="00E24ABA">
        <w:rPr>
          <w:lang w:val="en-GB"/>
        </w:rPr>
        <w:t>,</w:t>
      </w:r>
      <w:r w:rsidR="00743AC7" w:rsidRPr="00E94510">
        <w:rPr>
          <w:lang w:val="en-GB"/>
        </w:rPr>
        <w:t xml:space="preserve"> the same issue occurs, the fishing industry often </w:t>
      </w:r>
      <w:r w:rsidR="00321C2E">
        <w:rPr>
          <w:lang w:val="en-GB"/>
        </w:rPr>
        <w:t xml:space="preserve">has </w:t>
      </w:r>
      <w:r w:rsidR="00743AC7" w:rsidRPr="00E94510">
        <w:rPr>
          <w:lang w:val="en-GB"/>
        </w:rPr>
        <w:t>to</w:t>
      </w:r>
      <w:r w:rsidR="00321C2E">
        <w:rPr>
          <w:lang w:val="en-GB"/>
        </w:rPr>
        <w:t xml:space="preserve"> compete with</w:t>
      </w:r>
      <w:r w:rsidR="00743AC7" w:rsidRPr="00E94510">
        <w:rPr>
          <w:lang w:val="en-GB"/>
        </w:rPr>
        <w:t xml:space="preserve"> non-EU operator</w:t>
      </w:r>
      <w:r w:rsidR="00321C2E">
        <w:rPr>
          <w:lang w:val="en-GB"/>
        </w:rPr>
        <w:t>, including on</w:t>
      </w:r>
      <w:r w:rsidR="00743AC7" w:rsidRPr="00E94510">
        <w:rPr>
          <w:lang w:val="en-GB"/>
        </w:rPr>
        <w:t xml:space="preserve"> prices. Subsequently, high quality and sustainable EU fishery products are not reaching </w:t>
      </w:r>
      <w:r w:rsidR="00321C2E">
        <w:rPr>
          <w:lang w:val="en-GB"/>
        </w:rPr>
        <w:t xml:space="preserve">only </w:t>
      </w:r>
      <w:r w:rsidR="00743AC7" w:rsidRPr="00E94510">
        <w:rPr>
          <w:lang w:val="en-GB"/>
        </w:rPr>
        <w:t xml:space="preserve">EU consumers as the EU producers aim to sell at better prices, which they will try to find at a non-EU market. </w:t>
      </w:r>
    </w:p>
    <w:p w14:paraId="111D1F66" w14:textId="77777777" w:rsidR="00CD7399" w:rsidRDefault="00CD7399">
      <w:pPr>
        <w:rPr>
          <w:lang w:val="en-GB"/>
        </w:rPr>
      </w:pPr>
      <w:r>
        <w:rPr>
          <w:lang w:val="en-GB"/>
        </w:rPr>
        <w:br w:type="page"/>
      </w:r>
    </w:p>
    <w:p w14:paraId="209AAED8" w14:textId="77777777" w:rsidR="001E7EE9" w:rsidRDefault="001E7EE9">
      <w:pPr>
        <w:widowControl w:val="0"/>
        <w:spacing w:before="240"/>
        <w:rPr>
          <w:lang w:val="en-GB"/>
        </w:rPr>
      </w:pPr>
    </w:p>
    <w:p w14:paraId="3954C1FB" w14:textId="359E9A85" w:rsidR="00281246" w:rsidRDefault="00743AC7">
      <w:pPr>
        <w:widowControl w:val="0"/>
        <w:spacing w:before="240"/>
        <w:rPr>
          <w:lang w:val="en-GB"/>
        </w:rPr>
      </w:pPr>
      <w:r w:rsidRPr="00E94510">
        <w:rPr>
          <w:lang w:val="en-GB"/>
        </w:rPr>
        <w:t xml:space="preserve">Furthermore, among Member States, unequal conditions occur when controlling the imports of fisheries products. Not all Member States perform sufficient controls, especially when it comes to customs controls. Hereby creating not only an imbalance among Member States when it comes to the control of their products in comparison with non-EU products, but also the sustainability and food safety cannot be guaranteed for the EU consumers. Even more so considering that third countries may determine the list of approved establishments but not always carry out effective control of their establishments. </w:t>
      </w:r>
    </w:p>
    <w:p w14:paraId="4BC73550" w14:textId="446EB5A0" w:rsidR="00173C48" w:rsidRPr="00E94510" w:rsidRDefault="000C0A88" w:rsidP="00173C48">
      <w:pPr>
        <w:widowControl w:val="0"/>
        <w:spacing w:after="160"/>
        <w:rPr>
          <w:lang w:val="en-GB"/>
        </w:rPr>
      </w:pPr>
      <w:r>
        <w:rPr>
          <w:lang w:val="en-GB"/>
        </w:rPr>
        <w:t xml:space="preserve">The LDAC also believes that the F2F has some relevance to this section. </w:t>
      </w:r>
      <w:r w:rsidR="00173C48" w:rsidRPr="00E94510">
        <w:rPr>
          <w:lang w:val="en-GB"/>
        </w:rPr>
        <w:t xml:space="preserve">Although </w:t>
      </w:r>
      <w:r w:rsidRPr="00F37317">
        <w:rPr>
          <w:highlight w:val="yellow"/>
          <w:lang w:val="en-GB"/>
        </w:rPr>
        <w:t>the strategy</w:t>
      </w:r>
      <w:r w:rsidR="00173C48" w:rsidRPr="00F37317">
        <w:rPr>
          <w:highlight w:val="yellow"/>
          <w:lang w:val="en-GB"/>
        </w:rPr>
        <w:t xml:space="preserve"> ignores almost completely seafood production, several of </w:t>
      </w:r>
      <w:r w:rsidRPr="00F37317">
        <w:rPr>
          <w:highlight w:val="yellow"/>
          <w:lang w:val="en-GB"/>
        </w:rPr>
        <w:t xml:space="preserve">its </w:t>
      </w:r>
      <w:r w:rsidR="00173C48" w:rsidRPr="00F37317">
        <w:rPr>
          <w:highlight w:val="yellow"/>
          <w:lang w:val="en-GB"/>
        </w:rPr>
        <w:t>commitments could prove invaluable for promoting sustainable fisheries through trade.</w:t>
      </w:r>
      <w:r w:rsidR="00173C48" w:rsidRPr="00E94510">
        <w:rPr>
          <w:lang w:val="en-GB"/>
        </w:rPr>
        <w:t xml:space="preserve"> </w:t>
      </w:r>
      <w:r>
        <w:rPr>
          <w:lang w:val="en-GB"/>
        </w:rPr>
        <w:t>Its</w:t>
      </w:r>
      <w:r w:rsidR="00173C48" w:rsidRPr="00E94510">
        <w:rPr>
          <w:lang w:val="en-GB"/>
        </w:rPr>
        <w:t xml:space="preserve"> commitment to focus international cooperation on innovation, with particular reference to fair value chains, is key. In </w:t>
      </w:r>
      <w:r>
        <w:rPr>
          <w:lang w:val="en-GB"/>
        </w:rPr>
        <w:t>its</w:t>
      </w:r>
      <w:r w:rsidR="00173C48" w:rsidRPr="00E94510">
        <w:rPr>
          <w:lang w:val="en-GB"/>
        </w:rPr>
        <w:t xml:space="preserve"> implementation, </w:t>
      </w:r>
      <w:r w:rsidR="00173C48" w:rsidRPr="00F37317">
        <w:rPr>
          <w:highlight w:val="yellow"/>
          <w:lang w:val="en-GB"/>
        </w:rPr>
        <w:t>more attention should be given to supporting socially and environmentally sustainable fisheries value chains in third countries, including promoting decent working conditions, improved processing strategies to diminish post-harvest losses, etc.</w:t>
      </w:r>
    </w:p>
    <w:p w14:paraId="34550C24" w14:textId="7C2585B0" w:rsidR="00173C48" w:rsidRPr="00E94510" w:rsidRDefault="00173C48" w:rsidP="00173C48">
      <w:pPr>
        <w:widowControl w:val="0"/>
        <w:spacing w:after="160"/>
        <w:rPr>
          <w:lang w:val="en-GB"/>
        </w:rPr>
      </w:pPr>
      <w:r w:rsidRPr="00E94510">
        <w:rPr>
          <w:lang w:val="en-GB"/>
        </w:rPr>
        <w:t xml:space="preserve">In parallel, </w:t>
      </w:r>
      <w:r w:rsidRPr="00F37317">
        <w:rPr>
          <w:highlight w:val="yellow"/>
          <w:lang w:val="en-GB"/>
        </w:rPr>
        <w:t>we welcome the announcement that a legislation will be developed to prevent imports associated with human rights violations. When looking at EU seafood imports, two cases of human rights violations can</w:t>
      </w:r>
      <w:r w:rsidR="00E0274C" w:rsidRPr="00F37317">
        <w:rPr>
          <w:highlight w:val="yellow"/>
          <w:lang w:val="en-GB"/>
        </w:rPr>
        <w:t xml:space="preserve"> notably</w:t>
      </w:r>
      <w:r w:rsidRPr="00F37317">
        <w:rPr>
          <w:highlight w:val="yellow"/>
          <w:lang w:val="en-GB"/>
        </w:rPr>
        <w:t xml:space="preserve"> be highlighted: the imports of fishmeal and fish oil from West Africa that threaten the right to food of African populations; the violations of labour rights by some third countries fishing fleets, aquaculture production and processing plants that supply fish products for the EU market.</w:t>
      </w:r>
    </w:p>
    <w:p w14:paraId="0BCCD2FF" w14:textId="663A8ED1" w:rsidR="00173C48" w:rsidRPr="00E94510" w:rsidRDefault="00173C48" w:rsidP="00173C48">
      <w:pPr>
        <w:widowControl w:val="0"/>
        <w:rPr>
          <w:lang w:val="en-GB"/>
        </w:rPr>
      </w:pPr>
      <w:r w:rsidRPr="00E94510">
        <w:rPr>
          <w:lang w:val="en-GB"/>
        </w:rPr>
        <w:t xml:space="preserve">As the EU market is the most important and lucrative market for fish products globally, a future legislation that would ensure products placed on the EU market are free from human rights violations, as suggested by the F2F, would be an opportunity to address these concerns in the EU, but also to lead the way in global fisheries. </w:t>
      </w:r>
    </w:p>
    <w:p w14:paraId="03A2887D" w14:textId="3F82A207" w:rsidR="00281246" w:rsidRPr="00E94510" w:rsidRDefault="00743AC7">
      <w:pPr>
        <w:widowControl w:val="0"/>
        <w:spacing w:before="240"/>
        <w:rPr>
          <w:lang w:val="en-GB"/>
        </w:rPr>
      </w:pPr>
      <w:r w:rsidRPr="00E94510">
        <w:rPr>
          <w:lang w:val="en-GB"/>
        </w:rPr>
        <w:t>In light of the above and in line with the EU Biodiversity Strategy and the related F2F Strategy aiming a move towards even higher sustainability standards, the abovementioned consequences of an un</w:t>
      </w:r>
      <w:r w:rsidR="00FF4F08">
        <w:rPr>
          <w:lang w:val="en-GB"/>
        </w:rPr>
        <w:t xml:space="preserve">even </w:t>
      </w:r>
      <w:r w:rsidRPr="00E94510">
        <w:rPr>
          <w:lang w:val="en-GB"/>
        </w:rPr>
        <w:t xml:space="preserve">level playing field should be put to a halt. </w:t>
      </w:r>
    </w:p>
    <w:p w14:paraId="4B0FC8CA" w14:textId="77777777" w:rsidR="001E7EE9" w:rsidRDefault="001E7EE9">
      <w:pPr>
        <w:rPr>
          <w:b/>
          <w:lang w:val="en-GB"/>
        </w:rPr>
      </w:pPr>
      <w:r>
        <w:rPr>
          <w:b/>
          <w:lang w:val="en-GB"/>
        </w:rPr>
        <w:br w:type="page"/>
      </w:r>
    </w:p>
    <w:p w14:paraId="2FAD58A3" w14:textId="77777777" w:rsidR="001E7EE9" w:rsidRDefault="001E7EE9">
      <w:pPr>
        <w:widowControl w:val="0"/>
        <w:rPr>
          <w:b/>
          <w:lang w:val="en-GB"/>
        </w:rPr>
      </w:pPr>
    </w:p>
    <w:p w14:paraId="0D5ACFC5" w14:textId="3796CFC4" w:rsidR="00281246" w:rsidRPr="00E94510" w:rsidRDefault="00743AC7">
      <w:pPr>
        <w:widowControl w:val="0"/>
        <w:rPr>
          <w:lang w:val="en-GB"/>
        </w:rPr>
      </w:pPr>
      <w:r w:rsidRPr="00E94510">
        <w:rPr>
          <w:b/>
          <w:lang w:val="en-GB"/>
        </w:rPr>
        <w:t>Recommendations</w:t>
      </w:r>
      <w:r w:rsidRPr="00E94510">
        <w:rPr>
          <w:lang w:val="en-GB"/>
        </w:rPr>
        <w:t>:</w:t>
      </w:r>
    </w:p>
    <w:p w14:paraId="6FE1806C" w14:textId="77777777" w:rsidR="00281246" w:rsidRPr="00E94510" w:rsidRDefault="00743AC7">
      <w:pPr>
        <w:widowControl w:val="0"/>
        <w:rPr>
          <w:lang w:val="en-GB"/>
        </w:rPr>
      </w:pPr>
      <w:r w:rsidRPr="00E94510">
        <w:rPr>
          <w:lang w:val="en-GB"/>
        </w:rPr>
        <w:t>The LDAC would like to make the following recommendations to the European Commission, to:</w:t>
      </w:r>
    </w:p>
    <w:p w14:paraId="3908907E" w14:textId="77777777" w:rsidR="00281246" w:rsidRPr="00F37317" w:rsidRDefault="00743AC7">
      <w:pPr>
        <w:widowControl w:val="0"/>
        <w:numPr>
          <w:ilvl w:val="0"/>
          <w:numId w:val="15"/>
        </w:numPr>
        <w:spacing w:before="240"/>
        <w:rPr>
          <w:b/>
          <w:highlight w:val="yellow"/>
          <w:lang w:val="en-GB"/>
        </w:rPr>
      </w:pPr>
      <w:r w:rsidRPr="00F37317">
        <w:rPr>
          <w:b/>
          <w:highlight w:val="yellow"/>
          <w:lang w:val="en-GB"/>
        </w:rPr>
        <w:t xml:space="preserve">Develop an EU list of reliable third countries for trade based on the comparison with the EU standards for the three pillars of sustainability and food safety, and their control. </w:t>
      </w:r>
    </w:p>
    <w:p w14:paraId="189C02EC" w14:textId="77777777" w:rsidR="00281246" w:rsidRPr="00E94510" w:rsidRDefault="00743AC7">
      <w:pPr>
        <w:widowControl w:val="0"/>
        <w:numPr>
          <w:ilvl w:val="0"/>
          <w:numId w:val="15"/>
        </w:numPr>
        <w:spacing w:before="240"/>
        <w:rPr>
          <w:b/>
          <w:lang w:val="en-GB"/>
        </w:rPr>
      </w:pPr>
      <w:r w:rsidRPr="00E94510">
        <w:rPr>
          <w:b/>
          <w:lang w:val="en-GB"/>
        </w:rPr>
        <w:t>In the context of the implementation and enforcement of the legislation in the area of food safety of fishery products intended for export to the EU, and more particularly as regards audits in third countries and the maintenance of lists non-EU countries authorised establishments, continue ensuring close coordination between the Directorate-General for Health and Food Safety (DG SANTE) and DG MARE to ensure the coherence of their respective policies (i.e. food safety, anti-IUU fishing, SFPAs, etc.), and exploring further possibilities for improved coordination.</w:t>
      </w:r>
    </w:p>
    <w:p w14:paraId="3428E6B6" w14:textId="2B66801E" w:rsidR="00281246" w:rsidRDefault="0043577A" w:rsidP="007C4211">
      <w:pPr>
        <w:widowControl w:val="0"/>
        <w:numPr>
          <w:ilvl w:val="0"/>
          <w:numId w:val="15"/>
        </w:numPr>
        <w:spacing w:before="240"/>
        <w:rPr>
          <w:b/>
          <w:lang w:val="en-GB"/>
        </w:rPr>
      </w:pPr>
      <w:r>
        <w:rPr>
          <w:b/>
          <w:lang w:val="en-GB"/>
        </w:rPr>
        <w:t xml:space="preserve">Complete the procedure of revision of </w:t>
      </w:r>
      <w:r w:rsidR="00743AC7" w:rsidRPr="007C4211">
        <w:rPr>
          <w:b/>
          <w:lang w:val="en-GB"/>
        </w:rPr>
        <w:t>EU Marketing Standards Regulations for fishery products (Reg. 2406/96, Reg. 2136/89, Reg. 1536/92) in accordance with the new requirements and objectives set in the CFP, as well as the Biodiversity and F2F strategies</w:t>
      </w:r>
      <w:r w:rsidR="000F30B9" w:rsidRPr="007C4211">
        <w:rPr>
          <w:b/>
          <w:lang w:val="en-GB"/>
        </w:rPr>
        <w:t>.</w:t>
      </w:r>
      <w:r w:rsidR="00083A9A" w:rsidRPr="007C4211">
        <w:rPr>
          <w:b/>
          <w:lang w:val="en-GB"/>
        </w:rPr>
        <w:t xml:space="preserve"> The objective should be to contribute to achieving the same level playing field for imports and EU products.</w:t>
      </w:r>
    </w:p>
    <w:p w14:paraId="164DBE97" w14:textId="52B75018" w:rsidR="00173C48" w:rsidRDefault="00173C48" w:rsidP="00173C48">
      <w:pPr>
        <w:numPr>
          <w:ilvl w:val="0"/>
          <w:numId w:val="15"/>
        </w:numPr>
        <w:spacing w:after="220"/>
        <w:rPr>
          <w:b/>
          <w:lang w:val="en-GB"/>
        </w:rPr>
      </w:pPr>
      <w:r w:rsidRPr="00E94510">
        <w:rPr>
          <w:b/>
          <w:lang w:val="en-GB"/>
        </w:rPr>
        <w:t>Ensure that</w:t>
      </w:r>
      <w:r w:rsidRPr="00F37317">
        <w:rPr>
          <w:b/>
          <w:highlight w:val="yellow"/>
          <w:lang w:val="en-GB"/>
        </w:rPr>
        <w:t xml:space="preserve">, the development of the new legislation to prevent imports associated with human rights violations </w:t>
      </w:r>
      <w:r w:rsidR="000C0A88" w:rsidRPr="00F37317">
        <w:rPr>
          <w:b/>
          <w:highlight w:val="yellow"/>
          <w:lang w:val="en-GB"/>
        </w:rPr>
        <w:t xml:space="preserve">in the context of the implementation of the F2F </w:t>
      </w:r>
      <w:r w:rsidRPr="00F37317">
        <w:rPr>
          <w:b/>
          <w:highlight w:val="yellow"/>
          <w:lang w:val="en-GB"/>
        </w:rPr>
        <w:t xml:space="preserve">takes full consideration of human rights violations that take place in </w:t>
      </w:r>
      <w:r w:rsidR="000C0A88" w:rsidRPr="00F37317">
        <w:rPr>
          <w:b/>
          <w:highlight w:val="yellow"/>
          <w:lang w:val="en-GB"/>
        </w:rPr>
        <w:t xml:space="preserve">the </w:t>
      </w:r>
      <w:r w:rsidRPr="00F37317">
        <w:rPr>
          <w:b/>
          <w:highlight w:val="yellow"/>
          <w:lang w:val="en-GB"/>
        </w:rPr>
        <w:t xml:space="preserve">fisheries and aquaculture sectors </w:t>
      </w:r>
      <w:r w:rsidR="000C0A88" w:rsidRPr="00F37317">
        <w:rPr>
          <w:b/>
          <w:highlight w:val="yellow"/>
          <w:lang w:val="en-GB"/>
        </w:rPr>
        <w:t xml:space="preserve">of third countries </w:t>
      </w:r>
      <w:r w:rsidRPr="00F37317">
        <w:rPr>
          <w:b/>
          <w:highlight w:val="yellow"/>
          <w:lang w:val="en-GB"/>
        </w:rPr>
        <w:t>from which the EU imports seafood products</w:t>
      </w:r>
      <w:r w:rsidRPr="00E94510">
        <w:rPr>
          <w:b/>
          <w:highlight w:val="white"/>
          <w:lang w:val="en-GB"/>
        </w:rPr>
        <w:t>.</w:t>
      </w:r>
    </w:p>
    <w:p w14:paraId="01AF0DFD" w14:textId="29D57A51" w:rsidR="00CD7399" w:rsidRDefault="00CD7399">
      <w:pPr>
        <w:rPr>
          <w:b/>
          <w:lang w:val="en-GB"/>
        </w:rPr>
      </w:pPr>
      <w:r>
        <w:rPr>
          <w:b/>
          <w:lang w:val="en-GB"/>
        </w:rPr>
        <w:br w:type="page"/>
      </w: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81246" w:rsidRPr="004B3125" w14:paraId="2A1EC626" w14:textId="77777777">
        <w:tc>
          <w:tcPr>
            <w:tcW w:w="9029" w:type="dxa"/>
            <w:shd w:val="clear" w:color="auto" w:fill="auto"/>
            <w:tcMar>
              <w:top w:w="100" w:type="dxa"/>
              <w:left w:w="100" w:type="dxa"/>
              <w:bottom w:w="100" w:type="dxa"/>
              <w:right w:w="100" w:type="dxa"/>
            </w:tcMar>
          </w:tcPr>
          <w:p w14:paraId="202798D4" w14:textId="384FD710" w:rsidR="00281246" w:rsidRPr="00E94510" w:rsidRDefault="00882B51">
            <w:pPr>
              <w:widowControl w:val="0"/>
              <w:pBdr>
                <w:top w:val="nil"/>
                <w:left w:val="nil"/>
                <w:bottom w:val="nil"/>
                <w:right w:val="nil"/>
                <w:between w:val="nil"/>
              </w:pBdr>
              <w:spacing w:after="0"/>
              <w:ind w:right="0"/>
              <w:jc w:val="left"/>
              <w:rPr>
                <w:b/>
                <w:lang w:val="en-GB"/>
              </w:rPr>
            </w:pPr>
            <w:r w:rsidRPr="00E94510">
              <w:rPr>
                <w:b/>
                <w:lang w:val="en-GB"/>
              </w:rPr>
              <w:lastRenderedPageBreak/>
              <w:t>CHAPTER</w:t>
            </w:r>
            <w:r w:rsidR="00743AC7" w:rsidRPr="00E94510">
              <w:rPr>
                <w:b/>
                <w:lang w:val="en-GB"/>
              </w:rPr>
              <w:t xml:space="preserve"> III: International instruments related to social aspects (including labour rights)</w:t>
            </w:r>
            <w:r w:rsidR="00A346C9">
              <w:rPr>
                <w:rStyle w:val="FootnoteReference"/>
                <w:b/>
                <w:lang w:val="en-GB"/>
              </w:rPr>
              <w:footnoteReference w:id="101"/>
            </w:r>
          </w:p>
        </w:tc>
      </w:tr>
    </w:tbl>
    <w:p w14:paraId="79A45E11" w14:textId="2B6DF1CB" w:rsidR="00281246" w:rsidRPr="00E94510" w:rsidRDefault="00743AC7">
      <w:pPr>
        <w:widowControl w:val="0"/>
        <w:spacing w:before="240"/>
        <w:rPr>
          <w:b/>
          <w:lang w:val="en-GB"/>
        </w:rPr>
      </w:pPr>
      <w:r w:rsidRPr="00E94510">
        <w:rPr>
          <w:b/>
          <w:lang w:val="en-GB"/>
        </w:rPr>
        <w:t>3.1 - ILO/IMO/FAO</w:t>
      </w:r>
    </w:p>
    <w:p w14:paraId="31B9B035" w14:textId="7E64A054" w:rsidR="00281246" w:rsidRPr="00E94510" w:rsidRDefault="00743AC7">
      <w:pPr>
        <w:widowControl w:val="0"/>
        <w:shd w:val="clear" w:color="auto" w:fill="FFFFFF"/>
        <w:spacing w:before="200"/>
        <w:rPr>
          <w:color w:val="222222"/>
          <w:lang w:val="en-GB"/>
        </w:rPr>
      </w:pPr>
      <w:r w:rsidRPr="00E94510">
        <w:rPr>
          <w:color w:val="222222"/>
          <w:lang w:val="en-GB"/>
        </w:rPr>
        <w:t>As previously highlighted, in today’s production models wage costs can represent even more than 60% of the total production costs for a good or service; in maritime fisheries, wages constitute between 30 and 50% of total operating costs</w:t>
      </w:r>
      <w:r w:rsidRPr="00E94510">
        <w:rPr>
          <w:color w:val="222222"/>
          <w:vertAlign w:val="superscript"/>
          <w:lang w:val="en-GB"/>
        </w:rPr>
        <w:footnoteReference w:id="102"/>
      </w:r>
      <w:r w:rsidRPr="00E94510">
        <w:rPr>
          <w:color w:val="222222"/>
          <w:lang w:val="en-GB"/>
        </w:rPr>
        <w:t>. This can lead to situations where irresponsible producers – in all sectors and all over the world – try to reduce labo</w:t>
      </w:r>
      <w:r w:rsidR="000F30B9">
        <w:rPr>
          <w:color w:val="222222"/>
          <w:lang w:val="en-GB"/>
        </w:rPr>
        <w:t>u</w:t>
      </w:r>
      <w:r w:rsidRPr="00E94510">
        <w:rPr>
          <w:color w:val="222222"/>
          <w:lang w:val="en-GB"/>
        </w:rPr>
        <w:t>r costs in the detriment of the security, health or dignity of workers. SDG 8 “Decent work and economic growth” includes specific targets about minimum standards for all workers such as to eradicate forced labo</w:t>
      </w:r>
      <w:r w:rsidR="000F30B9">
        <w:rPr>
          <w:color w:val="222222"/>
          <w:lang w:val="en-GB"/>
        </w:rPr>
        <w:t>u</w:t>
      </w:r>
      <w:r w:rsidRPr="00E94510">
        <w:rPr>
          <w:color w:val="222222"/>
          <w:lang w:val="en-GB"/>
        </w:rPr>
        <w:t xml:space="preserve">r. </w:t>
      </w:r>
      <w:r w:rsidRPr="00F37317">
        <w:rPr>
          <w:color w:val="222222"/>
          <w:highlight w:val="yellow"/>
          <w:lang w:val="en-GB"/>
        </w:rPr>
        <w:t xml:space="preserve">Minimum standards for workers are not only essential from a social justice </w:t>
      </w:r>
      <w:r w:rsidR="007C4211" w:rsidRPr="00F37317">
        <w:rPr>
          <w:color w:val="222222"/>
          <w:highlight w:val="yellow"/>
          <w:lang w:val="en-GB"/>
        </w:rPr>
        <w:t>perspective but</w:t>
      </w:r>
      <w:r w:rsidRPr="00F37317">
        <w:rPr>
          <w:color w:val="222222"/>
          <w:highlight w:val="yellow"/>
          <w:lang w:val="en-GB"/>
        </w:rPr>
        <w:t xml:space="preserve"> are also beneficial for competition: in an open and globalized economy, fundamental decent working conditions must be guaranteed in order to prevent social dumping and undermine a level playing field doing harm to workers.</w:t>
      </w:r>
      <w:r w:rsidRPr="00E94510">
        <w:rPr>
          <w:color w:val="222222"/>
          <w:lang w:val="en-GB"/>
        </w:rPr>
        <w:t xml:space="preserve"> Social policies are by no means internationalized and there are huge differences, even within the EU. </w:t>
      </w:r>
    </w:p>
    <w:tbl>
      <w:tblPr>
        <w:tblStyle w:val="a1"/>
        <w:tblW w:w="9510"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4935"/>
        <w:gridCol w:w="4575"/>
      </w:tblGrid>
      <w:tr w:rsidR="00281246" w:rsidRPr="00E94510" w14:paraId="4AB431AB" w14:textId="77777777">
        <w:trPr>
          <w:trHeight w:val="673"/>
        </w:trPr>
        <w:tc>
          <w:tcPr>
            <w:tcW w:w="4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BDF8F1" w14:textId="43453208" w:rsidR="00281246" w:rsidRPr="00E94510" w:rsidRDefault="00743AC7">
            <w:pPr>
              <w:widowControl w:val="0"/>
              <w:spacing w:before="240" w:after="0"/>
              <w:jc w:val="center"/>
              <w:rPr>
                <w:b/>
                <w:color w:val="FFFFFF"/>
                <w:lang w:val="en-GB"/>
              </w:rPr>
            </w:pPr>
            <w:r w:rsidRPr="001E7EE9">
              <w:rPr>
                <w:color w:val="FFFFFF" w:themeColor="background1"/>
                <w:lang w:val="en-GB"/>
              </w:rPr>
              <w:t xml:space="preserve">The LDAC recalls that social policies are key to deterring forced labour and abuses in fisheries and provide a level playing field for work in the sector within the EU and at global level. The benchmark for an international level playing field regarding working conditions, therefore, should be international instruments such as the </w:t>
            </w:r>
            <w:r w:rsidRPr="00E94510">
              <w:rPr>
                <w:lang w:val="en-GB"/>
              </w:rPr>
              <w:t xml:space="preserve">internationally broadly recognized </w:t>
            </w:r>
            <w:r w:rsidR="003316F5">
              <w:rPr>
                <w:lang w:val="en-GB"/>
              </w:rPr>
              <w:t>eight</w:t>
            </w:r>
            <w:r w:rsidRPr="00E94510">
              <w:rPr>
                <w:lang w:val="en-GB"/>
              </w:rPr>
              <w:t xml:space="preserve"> </w:t>
            </w:r>
            <w:r w:rsidR="00E0274C">
              <w:rPr>
                <w:lang w:val="en-GB"/>
              </w:rPr>
              <w:t>f</w:t>
            </w:r>
            <w:r w:rsidRPr="00E94510">
              <w:rPr>
                <w:lang w:val="en-GB"/>
              </w:rPr>
              <w:t xml:space="preserve">undamental </w:t>
            </w:r>
            <w:r w:rsidR="00E0274C">
              <w:rPr>
                <w:lang w:val="en-GB"/>
              </w:rPr>
              <w:t>c</w:t>
            </w:r>
            <w:r w:rsidRPr="00E94510">
              <w:rPr>
                <w:lang w:val="en-GB"/>
              </w:rPr>
              <w:t xml:space="preserve">onventions and </w:t>
            </w:r>
            <w:r w:rsidR="003316F5">
              <w:rPr>
                <w:lang w:val="en-GB"/>
              </w:rPr>
              <w:t>four</w:t>
            </w:r>
            <w:r w:rsidRPr="00E94510">
              <w:rPr>
                <w:lang w:val="en-GB"/>
              </w:rPr>
              <w:t xml:space="preserve"> </w:t>
            </w:r>
            <w:r w:rsidR="00E0274C">
              <w:rPr>
                <w:lang w:val="en-GB"/>
              </w:rPr>
              <w:t>g</w:t>
            </w:r>
            <w:r w:rsidRPr="00E94510">
              <w:rPr>
                <w:lang w:val="en-GB"/>
              </w:rPr>
              <w:t xml:space="preserve">overnance </w:t>
            </w:r>
            <w:r w:rsidR="00E0274C">
              <w:rPr>
                <w:lang w:val="en-GB"/>
              </w:rPr>
              <w:t>c</w:t>
            </w:r>
            <w:r w:rsidRPr="00E94510">
              <w:rPr>
                <w:lang w:val="en-GB"/>
              </w:rPr>
              <w:t xml:space="preserve">onventions of the ILO listed hereunder: </w:t>
            </w:r>
            <w:r w:rsidRPr="00E94510">
              <w:rPr>
                <w:b/>
                <w:color w:val="FFFFFF"/>
                <w:lang w:val="en-GB"/>
              </w:rPr>
              <w:t>Fundamental conventions</w:t>
            </w:r>
          </w:p>
        </w:tc>
        <w:tc>
          <w:tcPr>
            <w:tcW w:w="45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1043D65" w14:textId="77777777" w:rsidR="00281246" w:rsidRPr="00E94510" w:rsidRDefault="00743AC7">
            <w:pPr>
              <w:widowControl w:val="0"/>
              <w:spacing w:before="240" w:after="0"/>
              <w:jc w:val="left"/>
              <w:rPr>
                <w:b/>
                <w:color w:val="FFFFFF"/>
                <w:lang w:val="en-GB"/>
              </w:rPr>
            </w:pPr>
            <w:r w:rsidRPr="00E94510">
              <w:rPr>
                <w:b/>
                <w:color w:val="FFFFFF"/>
                <w:lang w:val="en-GB"/>
              </w:rPr>
              <w:t xml:space="preserve">                   Governance conventions </w:t>
            </w:r>
          </w:p>
        </w:tc>
      </w:tr>
      <w:tr w:rsidR="00281246" w:rsidRPr="001E7EE9" w14:paraId="1B33F45D" w14:textId="77777777" w:rsidTr="00CD7399">
        <w:trPr>
          <w:trHeight w:val="20"/>
        </w:trPr>
        <w:tc>
          <w:tcPr>
            <w:tcW w:w="4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054ED0" w14:textId="77777777" w:rsidR="00281246" w:rsidRPr="00E94510" w:rsidRDefault="00743AC7">
            <w:pPr>
              <w:widowControl w:val="0"/>
              <w:spacing w:after="0"/>
              <w:ind w:left="720"/>
              <w:rPr>
                <w:color w:val="FFFFFF"/>
                <w:lang w:val="en-GB"/>
              </w:rPr>
            </w:pPr>
            <w:r w:rsidRPr="00E94510">
              <w:rPr>
                <w:color w:val="FFFFFF"/>
                <w:lang w:val="en-GB"/>
              </w:rPr>
              <w:t xml:space="preserve">- Forced Labour Convention, 1930 (No. 29) + Protocol of 2014 to the Forced Labour </w:t>
            </w:r>
          </w:p>
          <w:p w14:paraId="5CAD61FE" w14:textId="77777777" w:rsidR="00281246" w:rsidRPr="00E94510" w:rsidRDefault="00743AC7">
            <w:pPr>
              <w:widowControl w:val="0"/>
              <w:spacing w:after="0"/>
              <w:ind w:left="720"/>
              <w:rPr>
                <w:color w:val="FFFFFF"/>
                <w:lang w:val="en-GB"/>
              </w:rPr>
            </w:pPr>
            <w:r w:rsidRPr="00E94510">
              <w:rPr>
                <w:color w:val="FFFFFF"/>
                <w:lang w:val="en-GB"/>
              </w:rPr>
              <w:t>Convention, 1930</w:t>
            </w:r>
          </w:p>
          <w:p w14:paraId="029544CA" w14:textId="77777777" w:rsidR="00281246" w:rsidRPr="00E94510" w:rsidRDefault="00743AC7">
            <w:pPr>
              <w:widowControl w:val="0"/>
              <w:spacing w:after="0"/>
              <w:ind w:left="720"/>
              <w:rPr>
                <w:color w:val="FFFFFF"/>
                <w:lang w:val="en-GB"/>
              </w:rPr>
            </w:pPr>
            <w:r w:rsidRPr="00E94510">
              <w:rPr>
                <w:color w:val="FFFFFF"/>
                <w:lang w:val="en-GB"/>
              </w:rPr>
              <w:t>- Freedom of Association and Protection of the Right to Organise Convention, 1948 (No. 87)</w:t>
            </w:r>
          </w:p>
          <w:p w14:paraId="337CA1FF" w14:textId="77777777" w:rsidR="00281246" w:rsidRPr="00E94510" w:rsidRDefault="00743AC7">
            <w:pPr>
              <w:widowControl w:val="0"/>
              <w:spacing w:after="0"/>
              <w:ind w:left="720"/>
              <w:rPr>
                <w:color w:val="FFFFFF"/>
                <w:lang w:val="en-GB"/>
              </w:rPr>
            </w:pPr>
            <w:r w:rsidRPr="00E94510">
              <w:rPr>
                <w:color w:val="FFFFFF"/>
                <w:lang w:val="en-GB"/>
              </w:rPr>
              <w:t>- Right to Organise and Collective Bargaining Convention, 1949 (No. 98)</w:t>
            </w:r>
          </w:p>
          <w:p w14:paraId="4F5F7859" w14:textId="77777777" w:rsidR="00281246" w:rsidRPr="00E94510" w:rsidRDefault="00743AC7">
            <w:pPr>
              <w:widowControl w:val="0"/>
              <w:spacing w:after="0"/>
              <w:ind w:left="720"/>
              <w:rPr>
                <w:color w:val="FFFFFF"/>
                <w:lang w:val="en-GB"/>
              </w:rPr>
            </w:pPr>
            <w:r w:rsidRPr="00E94510">
              <w:rPr>
                <w:color w:val="FFFFFF"/>
                <w:lang w:val="en-GB"/>
              </w:rPr>
              <w:t>- Equal Remuneration Convention, 1951 (No. 100)</w:t>
            </w:r>
          </w:p>
          <w:p w14:paraId="1C98CE78" w14:textId="77777777" w:rsidR="00281246" w:rsidRPr="00E94510" w:rsidRDefault="00743AC7">
            <w:pPr>
              <w:widowControl w:val="0"/>
              <w:spacing w:after="0"/>
              <w:ind w:left="720"/>
              <w:rPr>
                <w:color w:val="FFFFFF"/>
                <w:lang w:val="en-GB"/>
              </w:rPr>
            </w:pPr>
            <w:r w:rsidRPr="00E94510">
              <w:rPr>
                <w:color w:val="FFFFFF"/>
                <w:lang w:val="en-GB"/>
              </w:rPr>
              <w:t>- Abolition of Forced Labour Convention, 1957 (No. 105)</w:t>
            </w:r>
          </w:p>
          <w:p w14:paraId="2D3586CB" w14:textId="77777777" w:rsidR="00281246" w:rsidRPr="00E94510" w:rsidRDefault="00743AC7">
            <w:pPr>
              <w:widowControl w:val="0"/>
              <w:spacing w:after="0"/>
              <w:ind w:left="720"/>
              <w:rPr>
                <w:color w:val="FFFFFF"/>
                <w:lang w:val="en-GB"/>
              </w:rPr>
            </w:pPr>
            <w:r w:rsidRPr="00E94510">
              <w:rPr>
                <w:color w:val="FFFFFF"/>
                <w:lang w:val="en-GB"/>
              </w:rPr>
              <w:t>-Discrimination (Employment and Occupation) Convention, 1958 (No. 111)</w:t>
            </w:r>
          </w:p>
          <w:p w14:paraId="7980F23C" w14:textId="77777777" w:rsidR="00281246" w:rsidRPr="00E94510" w:rsidRDefault="00743AC7">
            <w:pPr>
              <w:widowControl w:val="0"/>
              <w:spacing w:after="0"/>
              <w:ind w:left="720"/>
              <w:rPr>
                <w:color w:val="FFFFFF"/>
                <w:lang w:val="en-GB"/>
              </w:rPr>
            </w:pPr>
            <w:r w:rsidRPr="00E94510">
              <w:rPr>
                <w:color w:val="FFFFFF"/>
                <w:lang w:val="en-GB"/>
              </w:rPr>
              <w:lastRenderedPageBreak/>
              <w:t>- Minimum Age Convention, 1973 (No. 138)</w:t>
            </w:r>
          </w:p>
          <w:p w14:paraId="59E0199D" w14:textId="7819D77E" w:rsidR="00281246" w:rsidRPr="00E83381" w:rsidRDefault="00743AC7">
            <w:pPr>
              <w:widowControl w:val="0"/>
              <w:spacing w:after="0"/>
              <w:ind w:left="720"/>
              <w:rPr>
                <w:color w:val="FFFFFF"/>
                <w:lang w:val="en-GB"/>
              </w:rPr>
            </w:pPr>
            <w:r w:rsidRPr="00E94510">
              <w:rPr>
                <w:color w:val="FFFFFF"/>
                <w:lang w:val="en-GB"/>
              </w:rPr>
              <w:t>- Worst Forms of Child Labour Convention, 1999 (No. 182)</w:t>
            </w:r>
          </w:p>
        </w:tc>
        <w:tc>
          <w:tcPr>
            <w:tcW w:w="4575" w:type="dxa"/>
            <w:tcBorders>
              <w:top w:val="nil"/>
              <w:left w:val="nil"/>
              <w:bottom w:val="single" w:sz="8" w:space="0" w:color="000000"/>
              <w:right w:val="single" w:sz="8" w:space="0" w:color="000000"/>
            </w:tcBorders>
            <w:tcMar>
              <w:top w:w="100" w:type="dxa"/>
              <w:left w:w="100" w:type="dxa"/>
              <w:bottom w:w="100" w:type="dxa"/>
              <w:right w:w="100" w:type="dxa"/>
            </w:tcMar>
          </w:tcPr>
          <w:p w14:paraId="0B0D6185" w14:textId="77777777" w:rsidR="00281246" w:rsidRPr="00E94510" w:rsidRDefault="00743AC7">
            <w:pPr>
              <w:widowControl w:val="0"/>
              <w:numPr>
                <w:ilvl w:val="0"/>
                <w:numId w:val="17"/>
              </w:numPr>
              <w:spacing w:after="0"/>
              <w:rPr>
                <w:color w:val="FFFFFF"/>
                <w:lang w:val="en-GB"/>
              </w:rPr>
            </w:pPr>
            <w:r w:rsidRPr="00E94510">
              <w:rPr>
                <w:color w:val="FFFFFF"/>
                <w:lang w:val="en-GB"/>
              </w:rPr>
              <w:lastRenderedPageBreak/>
              <w:t>Labour Inspection Convention, 1947 (No. 81)</w:t>
            </w:r>
          </w:p>
          <w:p w14:paraId="1B62EA8F" w14:textId="77777777" w:rsidR="00281246" w:rsidRPr="00E94510" w:rsidRDefault="00743AC7">
            <w:pPr>
              <w:widowControl w:val="0"/>
              <w:numPr>
                <w:ilvl w:val="0"/>
                <w:numId w:val="17"/>
              </w:numPr>
              <w:spacing w:after="0"/>
              <w:rPr>
                <w:color w:val="FFFFFF"/>
                <w:lang w:val="en-GB"/>
              </w:rPr>
            </w:pPr>
            <w:r w:rsidRPr="00E94510">
              <w:rPr>
                <w:color w:val="FFFFFF"/>
                <w:lang w:val="en-GB"/>
              </w:rPr>
              <w:t>Employment Policy Convention, 1964 (No. 122)</w:t>
            </w:r>
          </w:p>
          <w:p w14:paraId="3CCD2F1D" w14:textId="77777777" w:rsidR="00281246" w:rsidRPr="00E94510" w:rsidRDefault="00743AC7">
            <w:pPr>
              <w:widowControl w:val="0"/>
              <w:numPr>
                <w:ilvl w:val="0"/>
                <w:numId w:val="17"/>
              </w:numPr>
              <w:spacing w:after="0"/>
              <w:rPr>
                <w:color w:val="FFFFFF"/>
                <w:lang w:val="en-GB"/>
              </w:rPr>
            </w:pPr>
            <w:r w:rsidRPr="00E94510">
              <w:rPr>
                <w:color w:val="FFFFFF"/>
                <w:lang w:val="en-GB"/>
              </w:rPr>
              <w:t>Labour Inspection (Agriculture) Convention, 1969 (No. 129)</w:t>
            </w:r>
          </w:p>
          <w:p w14:paraId="26954A19" w14:textId="77777777" w:rsidR="00281246" w:rsidRPr="00E94510" w:rsidRDefault="00743AC7">
            <w:pPr>
              <w:widowControl w:val="0"/>
              <w:numPr>
                <w:ilvl w:val="0"/>
                <w:numId w:val="17"/>
              </w:numPr>
              <w:spacing w:after="0"/>
              <w:rPr>
                <w:color w:val="FFFFFF"/>
                <w:lang w:val="en-GB"/>
              </w:rPr>
            </w:pPr>
            <w:r w:rsidRPr="00E94510">
              <w:rPr>
                <w:color w:val="FFFFFF"/>
                <w:lang w:val="en-GB"/>
              </w:rPr>
              <w:t>Tripartite Consultation (International Labour Standards) Convention, 1976 (No. 144)</w:t>
            </w:r>
          </w:p>
          <w:p w14:paraId="48485D66" w14:textId="77777777" w:rsidR="00281246" w:rsidRPr="00E94510" w:rsidRDefault="00281246">
            <w:pPr>
              <w:widowControl w:val="0"/>
              <w:spacing w:after="0"/>
              <w:ind w:left="720"/>
              <w:rPr>
                <w:color w:val="FFFFFF"/>
                <w:lang w:val="en-GB"/>
              </w:rPr>
            </w:pPr>
          </w:p>
        </w:tc>
      </w:tr>
    </w:tbl>
    <w:p w14:paraId="33325340" w14:textId="52A352C4" w:rsidR="00281246" w:rsidRPr="00E94510" w:rsidRDefault="00743AC7">
      <w:pPr>
        <w:widowControl w:val="0"/>
        <w:shd w:val="clear" w:color="auto" w:fill="FFFFFF"/>
        <w:spacing w:before="200"/>
        <w:ind w:right="80"/>
        <w:rPr>
          <w:color w:val="222222"/>
          <w:lang w:val="en-GB"/>
        </w:rPr>
      </w:pPr>
      <w:r w:rsidRPr="00E94510">
        <w:rPr>
          <w:color w:val="FF00FF"/>
          <w:lang w:val="en-GB"/>
        </w:rPr>
        <w:t xml:space="preserve"> </w:t>
      </w:r>
      <w:r w:rsidRPr="00E94510">
        <w:rPr>
          <w:lang w:val="en-GB"/>
        </w:rPr>
        <w:t>The specific working conditions on board of fishing vessels have been recognized by the EU</w:t>
      </w:r>
      <w:r w:rsidRPr="00E94510">
        <w:rPr>
          <w:vertAlign w:val="superscript"/>
          <w:lang w:val="en-GB"/>
        </w:rPr>
        <w:footnoteReference w:id="103"/>
      </w:r>
      <w:r w:rsidRPr="00E94510">
        <w:rPr>
          <w:lang w:val="en-GB"/>
        </w:rPr>
        <w:t xml:space="preserve">, and therefore should be taken into consideration in relations with third </w:t>
      </w:r>
      <w:r w:rsidR="00E0274C">
        <w:rPr>
          <w:lang w:val="en-GB"/>
        </w:rPr>
        <w:t>countries</w:t>
      </w:r>
      <w:r w:rsidRPr="00E94510">
        <w:rPr>
          <w:lang w:val="en-GB"/>
        </w:rPr>
        <w:t>. The following sector specific conventions are of utmost importance:</w:t>
      </w:r>
    </w:p>
    <w:tbl>
      <w:tblPr>
        <w:tblStyle w:val="a2"/>
        <w:tblW w:w="9345"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9345"/>
      </w:tblGrid>
      <w:tr w:rsidR="00281246" w:rsidRPr="004B3125" w14:paraId="1D730C70" w14:textId="77777777" w:rsidTr="003316F5">
        <w:trPr>
          <w:trHeight w:val="164"/>
        </w:trPr>
        <w:tc>
          <w:tcPr>
            <w:tcW w:w="9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09252" w14:textId="33671893" w:rsidR="00281246" w:rsidRPr="00E94510" w:rsidRDefault="00743AC7">
            <w:pPr>
              <w:widowControl w:val="0"/>
              <w:numPr>
                <w:ilvl w:val="0"/>
                <w:numId w:val="16"/>
              </w:numPr>
              <w:spacing w:after="0"/>
              <w:rPr>
                <w:color w:val="FFFFFF"/>
                <w:lang w:val="en-GB"/>
              </w:rPr>
            </w:pPr>
            <w:r w:rsidRPr="00E94510">
              <w:rPr>
                <w:color w:val="FFFFFF"/>
                <w:lang w:val="en-GB"/>
              </w:rPr>
              <w:t>IMO Cape Town Agreement 2012 on the Implementation of the Provisions of the Torremolinos Protocol of 1993 relating to the Torremolinos International Convention for the Safety of Fishing Vessels, 1977 (as amended)</w:t>
            </w:r>
          </w:p>
          <w:p w14:paraId="0CEA25FD" w14:textId="0BAE28FD" w:rsidR="00281246" w:rsidRPr="00E94510" w:rsidRDefault="00743AC7">
            <w:pPr>
              <w:widowControl w:val="0"/>
              <w:numPr>
                <w:ilvl w:val="0"/>
                <w:numId w:val="16"/>
              </w:numPr>
              <w:spacing w:after="0"/>
              <w:rPr>
                <w:color w:val="FFFFFF"/>
                <w:lang w:val="en-GB"/>
              </w:rPr>
            </w:pPr>
            <w:r w:rsidRPr="00E94510">
              <w:rPr>
                <w:color w:val="FFFFFF"/>
                <w:lang w:val="en-GB"/>
              </w:rPr>
              <w:t>IMO International Convention on Standards of Training, Certification and Watchkeeping for Fishing Vessel Personnel, 1995 (STCW-F)</w:t>
            </w:r>
          </w:p>
          <w:p w14:paraId="0DC0185B" w14:textId="77777777" w:rsidR="00281246" w:rsidRPr="00E94510" w:rsidRDefault="00743AC7">
            <w:pPr>
              <w:widowControl w:val="0"/>
              <w:numPr>
                <w:ilvl w:val="0"/>
                <w:numId w:val="16"/>
              </w:numPr>
              <w:spacing w:after="240"/>
              <w:rPr>
                <w:color w:val="FFFFFF"/>
                <w:lang w:val="en-GB"/>
              </w:rPr>
            </w:pPr>
            <w:r w:rsidRPr="00E94510">
              <w:rPr>
                <w:color w:val="FFFFFF"/>
                <w:lang w:val="en-GB"/>
              </w:rPr>
              <w:t>ILO Work in Fishing Convention, 2007 (C188)</w:t>
            </w:r>
            <w:r w:rsidRPr="00E94510">
              <w:rPr>
                <w:color w:val="FFFFFF"/>
                <w:vertAlign w:val="superscript"/>
                <w:lang w:val="en-GB"/>
              </w:rPr>
              <w:footnoteReference w:id="104"/>
            </w:r>
          </w:p>
        </w:tc>
      </w:tr>
    </w:tbl>
    <w:p w14:paraId="61B0F310" w14:textId="77777777" w:rsidR="00281246" w:rsidRPr="00E94510" w:rsidRDefault="00743AC7">
      <w:pPr>
        <w:widowControl w:val="0"/>
        <w:shd w:val="clear" w:color="auto" w:fill="FFFFFF"/>
        <w:spacing w:before="200"/>
        <w:rPr>
          <w:lang w:val="en-GB"/>
        </w:rPr>
      </w:pPr>
      <w:r w:rsidRPr="00E94510">
        <w:rPr>
          <w:lang w:val="en-GB"/>
        </w:rPr>
        <w:t>Beside the aforementioned instruments, it should be remembered the duties of flag states according to Article 94 UNCLOS, which lays down that flag states must adopt measures for ensuring safety at sea including vis-à-vis/through administrative, technical and social matters.</w:t>
      </w:r>
    </w:p>
    <w:p w14:paraId="6D118F25" w14:textId="77777777" w:rsidR="001E7EE9" w:rsidRDefault="00743AC7">
      <w:pPr>
        <w:widowControl w:val="0"/>
        <w:spacing w:before="240" w:after="240"/>
        <w:rPr>
          <w:b/>
          <w:color w:val="222222"/>
          <w:lang w:val="en-GB"/>
        </w:rPr>
      </w:pPr>
      <w:r w:rsidRPr="003C230C">
        <w:rPr>
          <w:b/>
          <w:color w:val="222222"/>
          <w:lang w:val="en-GB"/>
        </w:rPr>
        <w:t>Recommendation</w:t>
      </w:r>
      <w:r w:rsidR="003C230C" w:rsidRPr="003C230C">
        <w:rPr>
          <w:b/>
          <w:color w:val="222222"/>
          <w:lang w:val="en-GB"/>
        </w:rPr>
        <w:t>:</w:t>
      </w:r>
    </w:p>
    <w:p w14:paraId="5759C699" w14:textId="68069D32" w:rsidR="00281246" w:rsidRPr="00E94510" w:rsidRDefault="00743AC7">
      <w:pPr>
        <w:widowControl w:val="0"/>
        <w:spacing w:before="240" w:after="240"/>
        <w:rPr>
          <w:lang w:val="en-GB"/>
        </w:rPr>
      </w:pPr>
      <w:r w:rsidRPr="00E94510">
        <w:rPr>
          <w:color w:val="222222"/>
          <w:highlight w:val="white"/>
          <w:lang w:val="en-GB"/>
        </w:rPr>
        <w:t>In view of the above, the LDAC would like to make the following recommendations to the E</w:t>
      </w:r>
      <w:r w:rsidR="001E7EE9">
        <w:rPr>
          <w:color w:val="222222"/>
          <w:highlight w:val="white"/>
          <w:lang w:val="en-GB"/>
        </w:rPr>
        <w:t>C</w:t>
      </w:r>
      <w:r w:rsidRPr="00E94510">
        <w:rPr>
          <w:color w:val="222222"/>
          <w:highlight w:val="white"/>
          <w:lang w:val="en-GB"/>
        </w:rPr>
        <w:t>, to:</w:t>
      </w:r>
    </w:p>
    <w:p w14:paraId="2A24BD37" w14:textId="542B9ECE" w:rsidR="00281246" w:rsidRPr="007A56D1" w:rsidRDefault="00743AC7">
      <w:pPr>
        <w:widowControl w:val="0"/>
        <w:numPr>
          <w:ilvl w:val="0"/>
          <w:numId w:val="11"/>
        </w:numPr>
        <w:spacing w:before="240"/>
        <w:rPr>
          <w:b/>
          <w:highlight w:val="white"/>
          <w:lang w:val="en-GB"/>
        </w:rPr>
      </w:pPr>
      <w:r w:rsidRPr="007A56D1">
        <w:rPr>
          <w:b/>
          <w:highlight w:val="white"/>
          <w:lang w:val="en-GB"/>
        </w:rPr>
        <w:t xml:space="preserve">Call on </w:t>
      </w:r>
      <w:r w:rsidR="00A02FE6">
        <w:rPr>
          <w:b/>
          <w:highlight w:val="white"/>
          <w:lang w:val="en-GB"/>
        </w:rPr>
        <w:t xml:space="preserve">EU </w:t>
      </w:r>
      <w:r w:rsidRPr="007A56D1">
        <w:rPr>
          <w:b/>
          <w:highlight w:val="white"/>
          <w:lang w:val="en-GB"/>
        </w:rPr>
        <w:t xml:space="preserve">Member States to fully comply with the provisions laid down in the aforementioned international treaties. </w:t>
      </w:r>
    </w:p>
    <w:p w14:paraId="5E7BB474" w14:textId="35190BB3" w:rsidR="00281246" w:rsidRPr="007A56D1" w:rsidRDefault="00743AC7">
      <w:pPr>
        <w:widowControl w:val="0"/>
        <w:numPr>
          <w:ilvl w:val="0"/>
          <w:numId w:val="11"/>
        </w:numPr>
        <w:rPr>
          <w:b/>
          <w:highlight w:val="white"/>
          <w:lang w:val="en-GB"/>
        </w:rPr>
      </w:pPr>
      <w:r w:rsidRPr="007A56D1">
        <w:rPr>
          <w:b/>
          <w:highlight w:val="white"/>
          <w:lang w:val="en-GB"/>
        </w:rPr>
        <w:t>In its relation</w:t>
      </w:r>
      <w:r w:rsidR="000E7034" w:rsidRPr="007A56D1">
        <w:rPr>
          <w:b/>
          <w:highlight w:val="white"/>
          <w:lang w:val="en-GB"/>
        </w:rPr>
        <w:t>s</w:t>
      </w:r>
      <w:r w:rsidRPr="007A56D1">
        <w:rPr>
          <w:b/>
          <w:highlight w:val="white"/>
          <w:lang w:val="en-GB"/>
        </w:rPr>
        <w:t xml:space="preserve"> with third countries, urge them to have ratified the treaties</w:t>
      </w:r>
      <w:r w:rsidR="00A02FE6">
        <w:rPr>
          <w:b/>
          <w:highlight w:val="white"/>
          <w:lang w:val="en-GB"/>
        </w:rPr>
        <w:t>, encourage them</w:t>
      </w:r>
      <w:r w:rsidRPr="007A56D1">
        <w:rPr>
          <w:b/>
          <w:highlight w:val="white"/>
          <w:lang w:val="en-GB"/>
        </w:rPr>
        <w:t xml:space="preserve"> </w:t>
      </w:r>
      <w:r w:rsidR="00A02FE6">
        <w:rPr>
          <w:b/>
          <w:highlight w:val="white"/>
          <w:lang w:val="en-GB"/>
        </w:rPr>
        <w:t xml:space="preserve">to their </w:t>
      </w:r>
      <w:r w:rsidRPr="007A56D1">
        <w:rPr>
          <w:b/>
          <w:highlight w:val="white"/>
          <w:lang w:val="en-GB"/>
        </w:rPr>
        <w:t>correct implementation</w:t>
      </w:r>
      <w:r w:rsidR="00A02FE6">
        <w:rPr>
          <w:b/>
          <w:highlight w:val="white"/>
          <w:lang w:val="en-GB"/>
        </w:rPr>
        <w:t xml:space="preserve"> in a way that can be demonstrated</w:t>
      </w:r>
      <w:r w:rsidRPr="007A56D1">
        <w:rPr>
          <w:b/>
          <w:highlight w:val="white"/>
          <w:lang w:val="en-GB"/>
        </w:rPr>
        <w:t>.</w:t>
      </w:r>
    </w:p>
    <w:p w14:paraId="4AC6BF4D" w14:textId="150868C4" w:rsidR="00281246" w:rsidRPr="00865D94" w:rsidRDefault="00743AC7" w:rsidP="00865D94">
      <w:pPr>
        <w:widowControl w:val="0"/>
        <w:numPr>
          <w:ilvl w:val="0"/>
          <w:numId w:val="11"/>
        </w:numPr>
        <w:rPr>
          <w:b/>
          <w:highlight w:val="white"/>
          <w:lang w:val="en-GB"/>
        </w:rPr>
      </w:pPr>
      <w:r w:rsidRPr="007A56D1">
        <w:rPr>
          <w:b/>
          <w:bCs/>
          <w:lang w:val="en-GB"/>
        </w:rPr>
        <w:t xml:space="preserve">At least at EU level, the compliance with the requirements and standards laid down in Council directive 2017/159 on the implementation of the Social Partners’ agreement on the ILO C188 should be guaranteed. </w:t>
      </w:r>
      <w:r w:rsidR="00865D94" w:rsidRPr="001E7EE9">
        <w:rPr>
          <w:b/>
          <w:bCs/>
          <w:lang w:val="en-GB"/>
        </w:rPr>
        <w:t xml:space="preserve">To this end </w:t>
      </w:r>
      <w:r w:rsidR="004B3D9E" w:rsidRPr="001E7EE9">
        <w:rPr>
          <w:b/>
          <w:bCs/>
          <w:lang w:val="en-US"/>
        </w:rPr>
        <w:t>clearly defined standards are necessary in the market in order to ensure that the EU market is supplied with sustainable products, that uniform and transparent criteria are applied throughout the single market, that fair competition is guaranteed and the profitability of the EU production is improved.</w:t>
      </w:r>
      <w:r w:rsidR="004B3D9E" w:rsidRPr="003C1B4F">
        <w:rPr>
          <w:lang w:val="en-US"/>
        </w:rPr>
        <w:t xml:space="preserve"> </w:t>
      </w:r>
      <w:r w:rsidR="00FF5385">
        <w:rPr>
          <w:rStyle w:val="FootnoteReference"/>
          <w:b/>
          <w:bCs/>
          <w:lang w:val="en-GB"/>
        </w:rPr>
        <w:footnoteReference w:id="105"/>
      </w:r>
    </w:p>
    <w:p w14:paraId="2C94C741" w14:textId="77777777" w:rsidR="001E7EE9" w:rsidRPr="001E7EE9" w:rsidRDefault="001E7EE9" w:rsidP="001E7EE9">
      <w:pPr>
        <w:widowControl w:val="0"/>
        <w:spacing w:before="240"/>
        <w:ind w:left="720"/>
        <w:rPr>
          <w:b/>
          <w:color w:val="222222"/>
          <w:highlight w:val="white"/>
          <w:lang w:val="en-GB"/>
        </w:rPr>
      </w:pPr>
    </w:p>
    <w:p w14:paraId="45A5BBCC" w14:textId="60C97B87" w:rsidR="00281246" w:rsidRPr="00E94510" w:rsidRDefault="00743AC7">
      <w:pPr>
        <w:widowControl w:val="0"/>
        <w:numPr>
          <w:ilvl w:val="0"/>
          <w:numId w:val="11"/>
        </w:numPr>
        <w:spacing w:before="240"/>
        <w:rPr>
          <w:b/>
          <w:color w:val="222222"/>
          <w:highlight w:val="white"/>
          <w:lang w:val="en-GB"/>
        </w:rPr>
      </w:pPr>
      <w:r w:rsidRPr="007A56D1">
        <w:rPr>
          <w:b/>
          <w:highlight w:val="white"/>
          <w:lang w:val="en-GB"/>
        </w:rPr>
        <w:t xml:space="preserve">For ethical and moral reasons and of fairness in competition, all states that intend to export their fishery products to the EU must have ratified, be in the process of ratification or have national legislation equal to the main international social conventions to ensure a level playing field, particularly the ILO C188. This is allowed under WTO since its Member States have the right to implement measures to </w:t>
      </w:r>
      <w:r w:rsidRPr="00E94510">
        <w:rPr>
          <w:b/>
          <w:color w:val="222222"/>
          <w:highlight w:val="white"/>
          <w:lang w:val="en-GB"/>
        </w:rPr>
        <w:t>achieve legitimate policy objectives, such as the protection of human health and safety, or protection of the environment.</w:t>
      </w:r>
    </w:p>
    <w:p w14:paraId="1D3ED067" w14:textId="77777777" w:rsidR="001E7EE9" w:rsidRDefault="001E7EE9">
      <w:pPr>
        <w:widowControl w:val="0"/>
        <w:spacing w:before="240"/>
        <w:rPr>
          <w:b/>
          <w:lang w:val="en-GB"/>
        </w:rPr>
      </w:pPr>
    </w:p>
    <w:p w14:paraId="7BE1A34F" w14:textId="62ACE0F4" w:rsidR="00281246" w:rsidRPr="00E94510" w:rsidRDefault="00743AC7">
      <w:pPr>
        <w:widowControl w:val="0"/>
        <w:spacing w:before="240"/>
        <w:rPr>
          <w:b/>
          <w:lang w:val="en-GB"/>
        </w:rPr>
      </w:pPr>
      <w:r w:rsidRPr="00E94510">
        <w:rPr>
          <w:b/>
          <w:lang w:val="en-GB"/>
        </w:rPr>
        <w:t>3.</w:t>
      </w:r>
      <w:r w:rsidR="00934833">
        <w:rPr>
          <w:b/>
          <w:lang w:val="en-GB"/>
        </w:rPr>
        <w:t>2</w:t>
      </w:r>
      <w:r w:rsidRPr="00E94510">
        <w:rPr>
          <w:b/>
          <w:lang w:val="en-GB"/>
        </w:rPr>
        <w:t xml:space="preserve"> Other issues</w:t>
      </w:r>
    </w:p>
    <w:p w14:paraId="1A42FB2C" w14:textId="782B40C4" w:rsidR="00281246" w:rsidRPr="00E94510" w:rsidRDefault="00743AC7">
      <w:pPr>
        <w:widowControl w:val="0"/>
        <w:spacing w:before="240"/>
        <w:rPr>
          <w:lang w:val="en-GB"/>
        </w:rPr>
      </w:pPr>
      <w:r w:rsidRPr="00E94510">
        <w:rPr>
          <w:lang w:val="en-GB"/>
        </w:rPr>
        <w:t>In addition to the above, the LDAC is concerned by the lack of transparency about the size and vessel registration of certain fishing fleets, especially in Asia</w:t>
      </w:r>
      <w:r w:rsidRPr="00E94510">
        <w:rPr>
          <w:vertAlign w:val="superscript"/>
          <w:lang w:val="en-GB"/>
        </w:rPr>
        <w:footnoteReference w:id="106"/>
      </w:r>
      <w:r w:rsidRPr="00E94510">
        <w:rPr>
          <w:lang w:val="en-GB"/>
        </w:rPr>
        <w:t>, and particularly concerned by the abuse of migrant fishermen on-board certain Asian fishing vessels</w:t>
      </w:r>
      <w:r w:rsidRPr="00E94510">
        <w:rPr>
          <w:vertAlign w:val="superscript"/>
          <w:lang w:val="en-GB"/>
        </w:rPr>
        <w:footnoteReference w:id="107"/>
      </w:r>
      <w:r w:rsidRPr="00E94510">
        <w:rPr>
          <w:vertAlign w:val="superscript"/>
          <w:lang w:val="en-GB"/>
        </w:rPr>
        <w:t>,</w:t>
      </w:r>
      <w:r w:rsidRPr="00E94510">
        <w:rPr>
          <w:vertAlign w:val="superscript"/>
          <w:lang w:val="en-GB"/>
        </w:rPr>
        <w:footnoteReference w:id="108"/>
      </w:r>
      <w:r w:rsidRPr="00E94510">
        <w:rPr>
          <w:lang w:val="en-GB"/>
        </w:rPr>
        <w:t>, which includes cases of modern slavery and burials at sea of fishermen who, allegedly, fell victim to COVID-19</w:t>
      </w:r>
      <w:r w:rsidRPr="00E94510">
        <w:rPr>
          <w:vertAlign w:val="superscript"/>
          <w:lang w:val="en-GB"/>
        </w:rPr>
        <w:footnoteReference w:id="109"/>
      </w:r>
      <w:r w:rsidRPr="00E94510">
        <w:rPr>
          <w:lang w:val="en-GB"/>
        </w:rPr>
        <w:t>, in violation of contractual arrangements</w:t>
      </w:r>
      <w:r w:rsidR="00E0274C">
        <w:rPr>
          <w:lang w:val="en-GB"/>
        </w:rPr>
        <w:t xml:space="preserve"> (see also </w:t>
      </w:r>
      <w:r w:rsidR="00E0274C" w:rsidRPr="00E0274C">
        <w:rPr>
          <w:b/>
          <w:bCs/>
          <w:lang w:val="en-GB"/>
        </w:rPr>
        <w:t>Annex II</w:t>
      </w:r>
      <w:r w:rsidR="009C5653">
        <w:rPr>
          <w:b/>
          <w:bCs/>
          <w:lang w:val="en-GB"/>
        </w:rPr>
        <w:t>I</w:t>
      </w:r>
      <w:r w:rsidR="00E0274C">
        <w:rPr>
          <w:lang w:val="en-GB"/>
        </w:rPr>
        <w:t>)</w:t>
      </w:r>
      <w:r w:rsidRPr="00E94510">
        <w:rPr>
          <w:lang w:val="en-GB"/>
        </w:rPr>
        <w:t xml:space="preserve">. Similarly, the LDAC deplores the </w:t>
      </w:r>
      <w:r w:rsidR="000E7034" w:rsidRPr="00E94510">
        <w:rPr>
          <w:lang w:val="en-GB"/>
        </w:rPr>
        <w:t>risks for</w:t>
      </w:r>
      <w:r w:rsidRPr="00E94510">
        <w:rPr>
          <w:lang w:val="en-GB"/>
        </w:rPr>
        <w:t xml:space="preserve"> observers on board in certain Asian fishing fleets, considering that seven observers from the Pacific Island Countries were found dead on board in the last five years</w:t>
      </w:r>
      <w:r w:rsidRPr="00E94510">
        <w:rPr>
          <w:vertAlign w:val="superscript"/>
          <w:lang w:val="en-GB"/>
        </w:rPr>
        <w:footnoteReference w:id="110"/>
      </w:r>
      <w:r w:rsidRPr="00E94510">
        <w:rPr>
          <w:lang w:val="en-GB"/>
        </w:rPr>
        <w:t>.</w:t>
      </w:r>
    </w:p>
    <w:p w14:paraId="16AA8900" w14:textId="77777777" w:rsidR="00281246" w:rsidRPr="00E94510" w:rsidRDefault="00743AC7">
      <w:pPr>
        <w:widowControl w:val="0"/>
        <w:rPr>
          <w:lang w:val="en-GB"/>
        </w:rPr>
      </w:pPr>
      <w:r w:rsidRPr="00E94510">
        <w:rPr>
          <w:lang w:val="en-GB"/>
        </w:rPr>
        <w:t>As previously highlighted, the LDAC recalls that the ILO C188 is key to deterring forced labour and abuses in fisheries and set the conditions for a level playing field for work in the sector at global level. It also recalls that the Union Customs Code sets prohibitions or restrictions on imports, exports or goods in transit when they are justified on grounds of the protection of health and life of humans or the protection of the environment.</w:t>
      </w:r>
    </w:p>
    <w:p w14:paraId="27567974" w14:textId="77777777" w:rsidR="00281246" w:rsidRPr="00E94510" w:rsidRDefault="00743AC7">
      <w:pPr>
        <w:widowControl w:val="0"/>
        <w:rPr>
          <w:lang w:val="en-GB"/>
        </w:rPr>
      </w:pPr>
      <w:r w:rsidRPr="00E94510">
        <w:rPr>
          <w:lang w:val="en-GB"/>
        </w:rPr>
        <w:t xml:space="preserve">The LDAC believes that the EU and its Member States should play a leading role in promoting decent working conditions in fisheries worldwide and underline that those fleets, since they do not apply decent working and living conditions, take advantage of unfair competition when fish products enter the Union’s market and that these products may even benefit from duty reductions thanks to trade arrangements. </w:t>
      </w:r>
    </w:p>
    <w:p w14:paraId="3B7E1050" w14:textId="68F74CA0" w:rsidR="00281246" w:rsidRPr="00E94510" w:rsidRDefault="00743AC7">
      <w:pPr>
        <w:widowControl w:val="0"/>
        <w:rPr>
          <w:lang w:val="en-GB"/>
        </w:rPr>
      </w:pPr>
      <w:r w:rsidRPr="00E94510">
        <w:rPr>
          <w:lang w:val="en-GB"/>
        </w:rPr>
        <w:t xml:space="preserve">In this context, the LDAC recalls that the F2F calls for a fair, healthy and </w:t>
      </w:r>
      <w:r w:rsidR="00CC5C67" w:rsidRPr="00E94510">
        <w:rPr>
          <w:lang w:val="en-GB"/>
        </w:rPr>
        <w:t>environmentally friendly</w:t>
      </w:r>
      <w:r w:rsidRPr="00E94510">
        <w:rPr>
          <w:lang w:val="en-GB"/>
        </w:rPr>
        <w:t xml:space="preserve"> food system, which is incompatible with importing fishery products from countries with little or no concern for sustainability. </w:t>
      </w:r>
    </w:p>
    <w:p w14:paraId="281E03D0" w14:textId="77777777" w:rsidR="001E7EE9" w:rsidRDefault="001E7EE9">
      <w:pPr>
        <w:rPr>
          <w:b/>
          <w:color w:val="222222"/>
          <w:highlight w:val="white"/>
          <w:lang w:val="en-GB"/>
        </w:rPr>
      </w:pPr>
      <w:r>
        <w:rPr>
          <w:b/>
          <w:color w:val="222222"/>
          <w:highlight w:val="white"/>
          <w:lang w:val="en-GB"/>
        </w:rPr>
        <w:br w:type="page"/>
      </w:r>
    </w:p>
    <w:p w14:paraId="64919044" w14:textId="77777777" w:rsidR="001E7EE9" w:rsidRDefault="001E7EE9">
      <w:pPr>
        <w:widowControl w:val="0"/>
        <w:spacing w:before="240" w:after="240"/>
        <w:rPr>
          <w:b/>
          <w:color w:val="222222"/>
          <w:highlight w:val="white"/>
          <w:lang w:val="en-GB"/>
        </w:rPr>
      </w:pPr>
    </w:p>
    <w:p w14:paraId="6E44973D" w14:textId="22850806" w:rsidR="00281246" w:rsidRPr="00E94510" w:rsidRDefault="00743AC7">
      <w:pPr>
        <w:widowControl w:val="0"/>
        <w:spacing w:before="240" w:after="240"/>
        <w:rPr>
          <w:color w:val="222222"/>
          <w:highlight w:val="white"/>
          <w:lang w:val="en-GB"/>
        </w:rPr>
      </w:pPr>
      <w:r w:rsidRPr="00E94510">
        <w:rPr>
          <w:b/>
          <w:color w:val="222222"/>
          <w:highlight w:val="white"/>
          <w:lang w:val="en-GB"/>
        </w:rPr>
        <w:t>Recommendation</w:t>
      </w:r>
      <w:r w:rsidR="00B91A8A">
        <w:rPr>
          <w:b/>
          <w:color w:val="222222"/>
          <w:highlight w:val="white"/>
          <w:lang w:val="en-GB"/>
        </w:rPr>
        <w:t>s</w:t>
      </w:r>
      <w:r w:rsidRPr="00E94510">
        <w:rPr>
          <w:color w:val="222222"/>
          <w:highlight w:val="white"/>
          <w:lang w:val="en-GB"/>
        </w:rPr>
        <w:t>:</w:t>
      </w:r>
    </w:p>
    <w:p w14:paraId="586AF89E" w14:textId="0A45525F" w:rsidR="00281246" w:rsidRPr="00E94510" w:rsidRDefault="00743AC7">
      <w:pPr>
        <w:widowControl w:val="0"/>
        <w:spacing w:before="240" w:after="240"/>
        <w:rPr>
          <w:lang w:val="en-GB"/>
        </w:rPr>
      </w:pPr>
      <w:r w:rsidRPr="00E94510">
        <w:rPr>
          <w:color w:val="222222"/>
          <w:highlight w:val="white"/>
          <w:lang w:val="en-GB"/>
        </w:rPr>
        <w:t>In view of the above, the LDAC would like to make the following recommendations to the E</w:t>
      </w:r>
      <w:r w:rsidR="0022385C">
        <w:rPr>
          <w:color w:val="222222"/>
          <w:highlight w:val="white"/>
          <w:lang w:val="en-GB"/>
        </w:rPr>
        <w:t>C</w:t>
      </w:r>
      <w:r w:rsidRPr="00E94510">
        <w:rPr>
          <w:color w:val="222222"/>
          <w:highlight w:val="white"/>
          <w:lang w:val="en-GB"/>
        </w:rPr>
        <w:t>, to:</w:t>
      </w:r>
    </w:p>
    <w:p w14:paraId="1AD0B02D" w14:textId="22E96BAF" w:rsidR="00281246" w:rsidRDefault="00743AC7">
      <w:pPr>
        <w:widowControl w:val="0"/>
        <w:numPr>
          <w:ilvl w:val="0"/>
          <w:numId w:val="9"/>
        </w:numPr>
        <w:rPr>
          <w:b/>
          <w:lang w:val="en-GB"/>
        </w:rPr>
      </w:pPr>
      <w:r w:rsidRPr="00E94510">
        <w:rPr>
          <w:b/>
          <w:lang w:val="en-GB"/>
        </w:rPr>
        <w:t xml:space="preserve">Consider the establishment of a European register of fishing vessels identified as having committed serious labour infringements and not respecting fundamental human rights on board the fishing vessel. </w:t>
      </w:r>
    </w:p>
    <w:p w14:paraId="53035B9A" w14:textId="2BFA8F16" w:rsidR="00281246" w:rsidRPr="00E94510" w:rsidRDefault="00743AC7">
      <w:pPr>
        <w:widowControl w:val="0"/>
        <w:numPr>
          <w:ilvl w:val="0"/>
          <w:numId w:val="9"/>
        </w:numPr>
        <w:rPr>
          <w:b/>
          <w:lang w:val="en-GB"/>
        </w:rPr>
      </w:pPr>
      <w:r w:rsidRPr="00E94510">
        <w:rPr>
          <w:b/>
          <w:lang w:val="en-GB"/>
        </w:rPr>
        <w:t xml:space="preserve">Consider establishing a list of third countries that fail to take action to prevent, deter and eliminate abuse against fundamental labour and violations of human rights in the fishing sector. </w:t>
      </w:r>
    </w:p>
    <w:p w14:paraId="190E973B" w14:textId="77777777" w:rsidR="00304403" w:rsidRDefault="00743AC7">
      <w:pPr>
        <w:widowControl w:val="0"/>
        <w:numPr>
          <w:ilvl w:val="0"/>
          <w:numId w:val="9"/>
        </w:numPr>
        <w:rPr>
          <w:b/>
          <w:lang w:val="en-GB"/>
        </w:rPr>
      </w:pPr>
      <w:r w:rsidRPr="00E94510">
        <w:rPr>
          <w:b/>
          <w:lang w:val="en-GB"/>
        </w:rPr>
        <w:t>In this context, take steps against non-compliant fishing vessels and non-cooperating third countries, similar to those established in Chapter VII of the EU IUU Regulation.</w:t>
      </w:r>
    </w:p>
    <w:p w14:paraId="76677F03" w14:textId="5EB78E73" w:rsidR="00304403" w:rsidRPr="001E7EE9" w:rsidRDefault="00304403" w:rsidP="00304403">
      <w:pPr>
        <w:widowControl w:val="0"/>
        <w:numPr>
          <w:ilvl w:val="0"/>
          <w:numId w:val="9"/>
        </w:numPr>
        <w:rPr>
          <w:b/>
          <w:lang w:val="en-GB"/>
        </w:rPr>
      </w:pPr>
      <w:r w:rsidRPr="00BB02EC">
        <w:rPr>
          <w:b/>
          <w:lang w:val="en-GB"/>
        </w:rPr>
        <w:t xml:space="preserve">In this </w:t>
      </w:r>
      <w:r w:rsidR="00E0274C" w:rsidRPr="00BB02EC">
        <w:rPr>
          <w:b/>
          <w:lang w:val="en-GB"/>
        </w:rPr>
        <w:t>framework</w:t>
      </w:r>
      <w:r w:rsidRPr="00BB02EC">
        <w:rPr>
          <w:b/>
          <w:lang w:val="en-GB"/>
        </w:rPr>
        <w:t xml:space="preserve"> and in respect of identified fishing vessels, prohibit imports of their products into the EU. In respect of third countries, initiate formal dialogues with their competent authorities and should these dialogues not resolve the shortcomings identified, take trade-restrictive measures including the</w:t>
      </w:r>
      <w:r w:rsidR="00A02FE6" w:rsidRPr="00BB02EC">
        <w:rPr>
          <w:b/>
          <w:lang w:val="en-GB"/>
        </w:rPr>
        <w:t xml:space="preserve"> suspension of tariff </w:t>
      </w:r>
      <w:r w:rsidR="00A02FE6" w:rsidRPr="001E7EE9">
        <w:rPr>
          <w:b/>
          <w:lang w:val="en-GB"/>
        </w:rPr>
        <w:t>preferences</w:t>
      </w:r>
      <w:r w:rsidR="00A02FE6" w:rsidRPr="001E7EE9">
        <w:rPr>
          <w:rStyle w:val="FootnoteReference"/>
          <w:b/>
          <w:lang w:val="en-GB"/>
        </w:rPr>
        <w:footnoteReference w:id="111"/>
      </w:r>
      <w:r w:rsidR="004323CC" w:rsidRPr="001E7EE9">
        <w:rPr>
          <w:b/>
          <w:lang w:val="en-GB"/>
        </w:rPr>
        <w:t xml:space="preserve"> </w:t>
      </w:r>
      <w:r w:rsidR="00A02FE6" w:rsidRPr="001E7EE9">
        <w:rPr>
          <w:b/>
          <w:lang w:val="en-GB"/>
        </w:rPr>
        <w:t xml:space="preserve">or the </w:t>
      </w:r>
      <w:r w:rsidRPr="001E7EE9">
        <w:rPr>
          <w:b/>
          <w:lang w:val="en-GB"/>
        </w:rPr>
        <w:t>prohibition of imports of fishery products into the EU</w:t>
      </w:r>
      <w:r w:rsidR="004323CC" w:rsidRPr="001E7EE9">
        <w:rPr>
          <w:b/>
          <w:lang w:val="en-GB"/>
        </w:rPr>
        <w:t>.</w:t>
      </w:r>
    </w:p>
    <w:p w14:paraId="5D4DCD9E" w14:textId="28C23E39" w:rsidR="00281246" w:rsidRPr="001E7EE9" w:rsidRDefault="00164730">
      <w:pPr>
        <w:widowControl w:val="0"/>
        <w:numPr>
          <w:ilvl w:val="0"/>
          <w:numId w:val="9"/>
        </w:numPr>
        <w:rPr>
          <w:b/>
          <w:lang w:val="en-GB"/>
        </w:rPr>
      </w:pPr>
      <w:r w:rsidRPr="001E7EE9">
        <w:rPr>
          <w:b/>
          <w:lang w:val="en-GB"/>
        </w:rPr>
        <w:t>Promote</w:t>
      </w:r>
      <w:r w:rsidR="00D2056A" w:rsidRPr="001E7EE9">
        <w:rPr>
          <w:b/>
          <w:lang w:val="en-GB"/>
        </w:rPr>
        <w:t>, and</w:t>
      </w:r>
      <w:r w:rsidR="00FF5385" w:rsidRPr="001E7EE9">
        <w:rPr>
          <w:b/>
          <w:lang w:val="en-GB"/>
        </w:rPr>
        <w:t xml:space="preserve"> make gradual</w:t>
      </w:r>
      <w:r w:rsidR="00D2056A" w:rsidRPr="001E7EE9">
        <w:rPr>
          <w:b/>
          <w:lang w:val="en-GB"/>
        </w:rPr>
        <w:t xml:space="preserve"> progress towards requiring,</w:t>
      </w:r>
      <w:r w:rsidRPr="001E7EE9">
        <w:rPr>
          <w:b/>
          <w:lang w:val="en-GB"/>
        </w:rPr>
        <w:t xml:space="preserve"> </w:t>
      </w:r>
      <w:r w:rsidR="00743AC7" w:rsidRPr="001E7EE9">
        <w:rPr>
          <w:b/>
          <w:lang w:val="en-GB"/>
        </w:rPr>
        <w:t xml:space="preserve">that all fish products imports entering the EU comply with minimum internationally agreed standards such as those enshrined in ILO C188 and transposed in the EU through the Directive (EU) 2017/159, to avoid that European citizens consume fish without knowing it was caught by vessels that do not respect minimum social conditions. </w:t>
      </w:r>
    </w:p>
    <w:p w14:paraId="0CD5FBE5" w14:textId="35BA99F4" w:rsidR="00281246" w:rsidRPr="00E94510" w:rsidRDefault="00743AC7">
      <w:pPr>
        <w:widowControl w:val="0"/>
        <w:numPr>
          <w:ilvl w:val="0"/>
          <w:numId w:val="9"/>
        </w:numPr>
        <w:rPr>
          <w:b/>
          <w:lang w:val="en-GB"/>
        </w:rPr>
      </w:pPr>
      <w:r w:rsidRPr="00E94510">
        <w:rPr>
          <w:b/>
          <w:lang w:val="en-GB"/>
        </w:rPr>
        <w:t>Ensure better coherence with EU trade policies, including preferential tariff agreements such as the ATQ</w:t>
      </w:r>
      <w:r w:rsidR="00E0274C">
        <w:rPr>
          <w:b/>
          <w:lang w:val="en-GB"/>
        </w:rPr>
        <w:t>s, FTAs and GSP</w:t>
      </w:r>
      <w:r w:rsidRPr="00E94510">
        <w:rPr>
          <w:b/>
          <w:lang w:val="en-GB"/>
        </w:rPr>
        <w:t xml:space="preserve">. This could include allowing for the suspension of such instruments or the relevant negotiations until the third country concerned is found to be duly discharging its duties to take action to prevent, deter and abuse against fundamental labour and violations of human rights in fishing. </w:t>
      </w:r>
    </w:p>
    <w:p w14:paraId="082D3D56" w14:textId="41B232AA" w:rsidR="00281246" w:rsidRPr="00E94510" w:rsidRDefault="00743AC7">
      <w:pPr>
        <w:widowControl w:val="0"/>
        <w:numPr>
          <w:ilvl w:val="0"/>
          <w:numId w:val="9"/>
        </w:numPr>
        <w:rPr>
          <w:lang w:val="en-GB"/>
        </w:rPr>
      </w:pPr>
      <w:r w:rsidRPr="00E94510">
        <w:rPr>
          <w:b/>
          <w:lang w:val="en-GB"/>
        </w:rPr>
        <w:t>Promote and secure, as full member of RFMOs, effective measures to tackle labour abuse through the implementation of ILO C188; fund a research aimed at assessing the occurrence of forced labour and other forms of labour abuse on board fishing vessels registered in RFMOs; improve cooperation and coordination with other RFMOs’ parties in the context of the EU International Ocean Governance Strategy in order to include Decent Work in Fishing (</w:t>
      </w:r>
      <w:r w:rsidR="00907091">
        <w:rPr>
          <w:b/>
          <w:lang w:val="en-GB"/>
        </w:rPr>
        <w:t>S</w:t>
      </w:r>
      <w:r w:rsidRPr="00E94510">
        <w:rPr>
          <w:b/>
          <w:lang w:val="en-GB"/>
        </w:rPr>
        <w:t>DG</w:t>
      </w:r>
      <w:r w:rsidR="00907091">
        <w:rPr>
          <w:b/>
          <w:lang w:val="en-GB"/>
        </w:rPr>
        <w:t xml:space="preserve"> </w:t>
      </w:r>
      <w:r w:rsidRPr="00E94510">
        <w:rPr>
          <w:b/>
          <w:lang w:val="en-GB"/>
        </w:rPr>
        <w:t>8) as a fundamental pillar to improve fisheries sustainability at a global scale.</w:t>
      </w:r>
      <w:r w:rsidRPr="00E94510">
        <w:rPr>
          <w:lang w:val="en-GB"/>
        </w:rPr>
        <w:t xml:space="preserve"> </w:t>
      </w:r>
    </w:p>
    <w:p w14:paraId="54DD235A" w14:textId="30B8321C" w:rsidR="00631610" w:rsidRDefault="00743AC7" w:rsidP="007F1485">
      <w:pPr>
        <w:widowControl w:val="0"/>
        <w:ind w:left="220"/>
        <w:rPr>
          <w:b/>
          <w:lang w:val="en-GB"/>
        </w:rPr>
      </w:pPr>
      <w:r w:rsidRPr="00E94510">
        <w:rPr>
          <w:color w:val="548DD4"/>
          <w:lang w:val="en-GB"/>
        </w:rPr>
        <w:t xml:space="preserve"> </w:t>
      </w:r>
      <w:r w:rsidR="00631610">
        <w:rPr>
          <w:b/>
          <w:lang w:val="en-GB"/>
        </w:rPr>
        <w:br w:type="page"/>
      </w:r>
    </w:p>
    <w:p w14:paraId="26F1D0E8" w14:textId="1BF16A6F" w:rsidR="00281246" w:rsidRPr="00E94510" w:rsidRDefault="00743AC7">
      <w:pPr>
        <w:widowControl w:val="0"/>
        <w:spacing w:before="117"/>
        <w:rPr>
          <w:b/>
          <w:vertAlign w:val="superscript"/>
          <w:lang w:val="en-GB"/>
        </w:rPr>
      </w:pPr>
      <w:r w:rsidRPr="00EA1A75">
        <w:rPr>
          <w:b/>
          <w:u w:val="single"/>
          <w:lang w:val="en-GB"/>
        </w:rPr>
        <w:lastRenderedPageBreak/>
        <w:t>ANNEX</w:t>
      </w:r>
      <w:r w:rsidR="00CC5C67" w:rsidRPr="00EA1A75">
        <w:rPr>
          <w:b/>
          <w:u w:val="single"/>
          <w:lang w:val="en-GB"/>
        </w:rPr>
        <w:t xml:space="preserve"> I</w:t>
      </w:r>
      <w:r w:rsidRPr="00E94510">
        <w:rPr>
          <w:b/>
          <w:lang w:val="en-GB"/>
        </w:rPr>
        <w:t xml:space="preserve">: State of </w:t>
      </w:r>
      <w:r w:rsidRPr="00E94510">
        <w:rPr>
          <w:b/>
          <w:highlight w:val="white"/>
          <w:lang w:val="en-GB"/>
        </w:rPr>
        <w:t>ratifications of international conventions by the world’s biggest fish producers</w:t>
      </w:r>
      <w:r w:rsidRPr="00E94510">
        <w:rPr>
          <w:b/>
          <w:vertAlign w:val="superscript"/>
          <w:lang w:val="en-GB"/>
        </w:rPr>
        <w:footnoteReference w:id="112"/>
      </w:r>
      <w:r w:rsidR="00602A62" w:rsidRPr="007D09E0">
        <w:rPr>
          <w:b/>
          <w:vertAlign w:val="superscript"/>
          <w:lang w:val="en-GB"/>
        </w:rPr>
        <w:t>,</w:t>
      </w:r>
      <w:r w:rsidR="00602A62">
        <w:rPr>
          <w:rStyle w:val="FootnoteReference"/>
          <w:b/>
          <w:lang w:val="en-GB"/>
        </w:rPr>
        <w:footnoteReference w:id="113"/>
      </w:r>
    </w:p>
    <w:p w14:paraId="25E8153F" w14:textId="30B6F59F" w:rsidR="00281246" w:rsidRPr="00E94510" w:rsidRDefault="00743AC7">
      <w:pPr>
        <w:widowControl w:val="0"/>
        <w:spacing w:before="117"/>
        <w:rPr>
          <w:i/>
          <w:color w:val="00B050"/>
          <w:lang w:val="en-GB"/>
        </w:rPr>
      </w:pPr>
      <w:r w:rsidRPr="00E94510">
        <w:rPr>
          <w:i/>
          <w:lang w:val="en-GB"/>
        </w:rPr>
        <w:t xml:space="preserve">Table 1: Conventions related to the conservation of fisheries resources </w:t>
      </w:r>
      <w:r w:rsidR="002963B1">
        <w:rPr>
          <w:i/>
          <w:lang w:val="en-GB"/>
        </w:rPr>
        <w:t>(as of 20.4.2021)</w:t>
      </w:r>
    </w:p>
    <w:tbl>
      <w:tblPr>
        <w:tblStyle w:val="a3"/>
        <w:tblW w:w="10140" w:type="dxa"/>
        <w:tblInd w:w="-805" w:type="dxa"/>
        <w:tblBorders>
          <w:top w:val="nil"/>
          <w:left w:val="nil"/>
          <w:bottom w:val="nil"/>
          <w:right w:val="nil"/>
          <w:insideH w:val="nil"/>
          <w:insideV w:val="nil"/>
        </w:tblBorders>
        <w:tblLayout w:type="fixed"/>
        <w:tblLook w:val="0000" w:firstRow="0" w:lastRow="0" w:firstColumn="0" w:lastColumn="0" w:noHBand="0" w:noVBand="0"/>
      </w:tblPr>
      <w:tblGrid>
        <w:gridCol w:w="1470"/>
        <w:gridCol w:w="1125"/>
        <w:gridCol w:w="1755"/>
        <w:gridCol w:w="1545"/>
        <w:gridCol w:w="1230"/>
        <w:gridCol w:w="1500"/>
        <w:gridCol w:w="1515"/>
      </w:tblGrid>
      <w:tr w:rsidR="00281246" w:rsidRPr="004B3125" w14:paraId="2EC96580" w14:textId="77777777">
        <w:trPr>
          <w:trHeight w:val="2833"/>
        </w:trPr>
        <w:tc>
          <w:tcPr>
            <w:tcW w:w="1470" w:type="dxa"/>
            <w:tcBorders>
              <w:top w:val="single" w:sz="8" w:space="0" w:color="000000"/>
              <w:left w:val="single" w:sz="8" w:space="0" w:color="000000"/>
              <w:bottom w:val="single" w:sz="8" w:space="0" w:color="000000"/>
              <w:right w:val="single" w:sz="8" w:space="0" w:color="000000"/>
            </w:tcBorders>
            <w:shd w:val="clear" w:color="auto" w:fill="548DD4"/>
            <w:tcMar>
              <w:top w:w="20" w:type="dxa"/>
              <w:left w:w="80" w:type="dxa"/>
              <w:bottom w:w="100" w:type="dxa"/>
              <w:right w:w="80" w:type="dxa"/>
            </w:tcMar>
          </w:tcPr>
          <w:p w14:paraId="5383D7DE" w14:textId="77777777" w:rsidR="00281246" w:rsidRPr="000547CC" w:rsidRDefault="00743AC7">
            <w:pPr>
              <w:widowControl w:val="0"/>
              <w:spacing w:after="0"/>
              <w:jc w:val="center"/>
              <w:rPr>
                <w:b/>
                <w:i/>
                <w:color w:val="FFFFFF"/>
                <w:sz w:val="20"/>
                <w:szCs w:val="20"/>
                <w:lang w:val="en-GB"/>
              </w:rPr>
            </w:pPr>
            <w:r w:rsidRPr="000547CC">
              <w:rPr>
                <w:b/>
                <w:i/>
                <w:color w:val="FFFFFF"/>
                <w:sz w:val="20"/>
                <w:szCs w:val="20"/>
                <w:lang w:val="en-GB"/>
              </w:rPr>
              <w:t>Agreements</w:t>
            </w:r>
          </w:p>
          <w:p w14:paraId="03FD5284" w14:textId="77777777" w:rsidR="00281246" w:rsidRPr="00E94510" w:rsidRDefault="00743AC7">
            <w:pPr>
              <w:widowControl w:val="0"/>
              <w:spacing w:after="0"/>
              <w:jc w:val="center"/>
              <w:rPr>
                <w:b/>
                <w:i/>
                <w:color w:val="FFFFFF"/>
                <w:lang w:val="en-GB"/>
              </w:rPr>
            </w:pPr>
            <w:r w:rsidRPr="00E94510">
              <w:rPr>
                <w:b/>
                <w:i/>
                <w:color w:val="FFFFFF"/>
                <w:lang w:val="en-GB"/>
              </w:rPr>
              <w:t xml:space="preserve"> </w:t>
            </w:r>
          </w:p>
          <w:p w14:paraId="285356E4" w14:textId="77777777" w:rsidR="00281246" w:rsidRPr="00E94510" w:rsidRDefault="00743AC7">
            <w:pPr>
              <w:widowControl w:val="0"/>
              <w:spacing w:after="0"/>
              <w:jc w:val="center"/>
              <w:rPr>
                <w:b/>
                <w:i/>
                <w:color w:val="FFFFFF"/>
                <w:lang w:val="en-GB"/>
              </w:rPr>
            </w:pPr>
            <w:r w:rsidRPr="00E94510">
              <w:rPr>
                <w:b/>
                <w:i/>
                <w:color w:val="FFFFFF"/>
                <w:lang w:val="en-GB"/>
              </w:rPr>
              <w:t xml:space="preserve"> </w:t>
            </w:r>
          </w:p>
          <w:p w14:paraId="20392081" w14:textId="77777777" w:rsidR="00281246" w:rsidRPr="00E94510" w:rsidRDefault="00281246">
            <w:pPr>
              <w:widowControl w:val="0"/>
              <w:spacing w:after="0"/>
              <w:jc w:val="center"/>
              <w:rPr>
                <w:b/>
                <w:i/>
                <w:color w:val="FFFFFF"/>
                <w:lang w:val="en-GB"/>
              </w:rPr>
            </w:pPr>
          </w:p>
        </w:tc>
        <w:tc>
          <w:tcPr>
            <w:tcW w:w="1125" w:type="dxa"/>
            <w:tcBorders>
              <w:top w:val="single" w:sz="8" w:space="0" w:color="000000"/>
              <w:left w:val="nil"/>
              <w:bottom w:val="single" w:sz="8" w:space="0" w:color="000000"/>
              <w:right w:val="single" w:sz="8" w:space="0" w:color="000000"/>
            </w:tcBorders>
            <w:shd w:val="clear" w:color="auto" w:fill="548DD4"/>
            <w:tcMar>
              <w:top w:w="20" w:type="dxa"/>
              <w:left w:w="80" w:type="dxa"/>
              <w:bottom w:w="100" w:type="dxa"/>
              <w:right w:w="80" w:type="dxa"/>
            </w:tcMar>
          </w:tcPr>
          <w:p w14:paraId="4AA0A6C4" w14:textId="77777777" w:rsidR="00281246" w:rsidRPr="00E94510" w:rsidRDefault="00743AC7">
            <w:pPr>
              <w:widowControl w:val="0"/>
              <w:spacing w:after="0"/>
              <w:ind w:right="120"/>
              <w:jc w:val="center"/>
              <w:rPr>
                <w:i/>
                <w:color w:val="FFFFFF"/>
                <w:lang w:val="en-GB"/>
              </w:rPr>
            </w:pPr>
            <w:r w:rsidRPr="00E94510">
              <w:rPr>
                <w:i/>
                <w:color w:val="FFFFFF"/>
                <w:lang w:val="en-GB"/>
              </w:rPr>
              <w:t>UNCLOS</w:t>
            </w:r>
          </w:p>
        </w:tc>
        <w:tc>
          <w:tcPr>
            <w:tcW w:w="1755" w:type="dxa"/>
            <w:tcBorders>
              <w:top w:val="single" w:sz="8" w:space="0" w:color="000000"/>
              <w:left w:val="nil"/>
              <w:bottom w:val="single" w:sz="8" w:space="0" w:color="000000"/>
              <w:right w:val="single" w:sz="8" w:space="0" w:color="000000"/>
            </w:tcBorders>
            <w:shd w:val="clear" w:color="auto" w:fill="548DD4"/>
            <w:tcMar>
              <w:top w:w="20" w:type="dxa"/>
              <w:left w:w="80" w:type="dxa"/>
              <w:bottom w:w="100" w:type="dxa"/>
              <w:right w:w="80" w:type="dxa"/>
            </w:tcMar>
          </w:tcPr>
          <w:p w14:paraId="102A85FF" w14:textId="77777777" w:rsidR="00281246" w:rsidRPr="00E94510" w:rsidRDefault="00743AC7">
            <w:pPr>
              <w:widowControl w:val="0"/>
              <w:spacing w:after="0"/>
              <w:ind w:right="120"/>
              <w:jc w:val="center"/>
              <w:rPr>
                <w:i/>
                <w:color w:val="FFFFFF"/>
                <w:lang w:val="en-GB"/>
              </w:rPr>
            </w:pPr>
            <w:r w:rsidRPr="00E94510">
              <w:rPr>
                <w:i/>
                <w:color w:val="FFFFFF"/>
                <w:lang w:val="en-GB"/>
              </w:rPr>
              <w:t>UNFSA</w:t>
            </w:r>
          </w:p>
        </w:tc>
        <w:tc>
          <w:tcPr>
            <w:tcW w:w="1545" w:type="dxa"/>
            <w:tcBorders>
              <w:top w:val="single" w:sz="8" w:space="0" w:color="000000"/>
              <w:left w:val="nil"/>
              <w:bottom w:val="single" w:sz="8" w:space="0" w:color="000000"/>
              <w:right w:val="single" w:sz="8" w:space="0" w:color="000000"/>
            </w:tcBorders>
            <w:shd w:val="clear" w:color="auto" w:fill="548DD4"/>
            <w:tcMar>
              <w:top w:w="20" w:type="dxa"/>
              <w:left w:w="80" w:type="dxa"/>
              <w:bottom w:w="100" w:type="dxa"/>
              <w:right w:w="80" w:type="dxa"/>
            </w:tcMar>
          </w:tcPr>
          <w:p w14:paraId="4A63447A" w14:textId="77777777" w:rsidR="00281246" w:rsidRPr="00E94510" w:rsidRDefault="00743AC7">
            <w:pPr>
              <w:widowControl w:val="0"/>
              <w:spacing w:after="0"/>
              <w:ind w:right="120"/>
              <w:jc w:val="center"/>
              <w:rPr>
                <w:i/>
                <w:color w:val="FFFFFF"/>
                <w:lang w:val="en-GB"/>
              </w:rPr>
            </w:pPr>
            <w:r w:rsidRPr="00E94510">
              <w:rPr>
                <w:i/>
                <w:color w:val="FFFFFF"/>
                <w:lang w:val="en-GB"/>
              </w:rPr>
              <w:t>FAO Compliance Agreement</w:t>
            </w:r>
          </w:p>
        </w:tc>
        <w:tc>
          <w:tcPr>
            <w:tcW w:w="1230" w:type="dxa"/>
            <w:tcBorders>
              <w:top w:val="single" w:sz="8" w:space="0" w:color="000000"/>
              <w:left w:val="nil"/>
              <w:bottom w:val="single" w:sz="8" w:space="0" w:color="000000"/>
              <w:right w:val="single" w:sz="8" w:space="0" w:color="000000"/>
            </w:tcBorders>
            <w:shd w:val="clear" w:color="auto" w:fill="548DD4"/>
            <w:tcMar>
              <w:top w:w="20" w:type="dxa"/>
              <w:left w:w="80" w:type="dxa"/>
              <w:bottom w:w="100" w:type="dxa"/>
              <w:right w:w="80" w:type="dxa"/>
            </w:tcMar>
          </w:tcPr>
          <w:p w14:paraId="5D46E90A" w14:textId="77777777" w:rsidR="00281246" w:rsidRPr="00E94510" w:rsidRDefault="00743AC7">
            <w:pPr>
              <w:widowControl w:val="0"/>
              <w:spacing w:after="0"/>
              <w:jc w:val="center"/>
              <w:rPr>
                <w:i/>
                <w:color w:val="FFFFFF"/>
                <w:lang w:val="en-GB"/>
              </w:rPr>
            </w:pPr>
            <w:r w:rsidRPr="00E94510">
              <w:rPr>
                <w:i/>
                <w:color w:val="FFFFFF"/>
                <w:lang w:val="en-GB"/>
              </w:rPr>
              <w:t>PSMA</w:t>
            </w:r>
          </w:p>
        </w:tc>
        <w:tc>
          <w:tcPr>
            <w:tcW w:w="1500" w:type="dxa"/>
            <w:tcBorders>
              <w:top w:val="single" w:sz="8" w:space="0" w:color="000000"/>
              <w:left w:val="nil"/>
              <w:bottom w:val="single" w:sz="8" w:space="0" w:color="000000"/>
              <w:right w:val="single" w:sz="8" w:space="0" w:color="000000"/>
            </w:tcBorders>
            <w:shd w:val="clear" w:color="auto" w:fill="548DD4"/>
            <w:tcMar>
              <w:top w:w="20" w:type="dxa"/>
              <w:left w:w="80" w:type="dxa"/>
              <w:bottom w:w="100" w:type="dxa"/>
              <w:right w:w="80" w:type="dxa"/>
            </w:tcMar>
          </w:tcPr>
          <w:p w14:paraId="046713FB" w14:textId="77777777" w:rsidR="00281246" w:rsidRPr="00E94510" w:rsidRDefault="00743AC7">
            <w:pPr>
              <w:widowControl w:val="0"/>
              <w:spacing w:after="0"/>
              <w:jc w:val="center"/>
              <w:rPr>
                <w:i/>
                <w:color w:val="FFFFFF"/>
                <w:lang w:val="en-GB"/>
              </w:rPr>
            </w:pPr>
            <w:r w:rsidRPr="00E94510">
              <w:rPr>
                <w:i/>
                <w:color w:val="FFFFFF"/>
                <w:lang w:val="en-GB"/>
              </w:rPr>
              <w:t>Protocol of 1978 relating to the International Convention for the prevention of pollution from ships, 1973</w:t>
            </w:r>
          </w:p>
        </w:tc>
        <w:tc>
          <w:tcPr>
            <w:tcW w:w="1515" w:type="dxa"/>
            <w:tcBorders>
              <w:top w:val="single" w:sz="8" w:space="0" w:color="000000"/>
              <w:left w:val="nil"/>
              <w:bottom w:val="single" w:sz="8" w:space="0" w:color="000000"/>
              <w:right w:val="single" w:sz="8" w:space="0" w:color="000000"/>
            </w:tcBorders>
            <w:shd w:val="clear" w:color="auto" w:fill="548DD4"/>
            <w:tcMar>
              <w:top w:w="20" w:type="dxa"/>
              <w:left w:w="80" w:type="dxa"/>
              <w:bottom w:w="100" w:type="dxa"/>
              <w:right w:w="80" w:type="dxa"/>
            </w:tcMar>
          </w:tcPr>
          <w:p w14:paraId="01763484" w14:textId="77777777" w:rsidR="00281246" w:rsidRPr="00E94510" w:rsidRDefault="00743AC7">
            <w:pPr>
              <w:widowControl w:val="0"/>
              <w:spacing w:after="0"/>
              <w:ind w:right="120"/>
              <w:jc w:val="center"/>
              <w:rPr>
                <w:i/>
                <w:color w:val="FFFFFF"/>
                <w:lang w:val="en-GB"/>
              </w:rPr>
            </w:pPr>
            <w:r w:rsidRPr="00E94510">
              <w:rPr>
                <w:i/>
                <w:color w:val="FFFFFF"/>
                <w:lang w:val="en-GB"/>
              </w:rPr>
              <w:t>International Convention for the Prevention of Pollution from Ships (MARPOL, Annex IV)</w:t>
            </w:r>
          </w:p>
        </w:tc>
      </w:tr>
      <w:tr w:rsidR="00281246" w:rsidRPr="00E94510" w14:paraId="72E8CEF6" w14:textId="77777777">
        <w:trPr>
          <w:trHeight w:val="480"/>
        </w:trPr>
        <w:tc>
          <w:tcPr>
            <w:tcW w:w="1470" w:type="dxa"/>
            <w:tcBorders>
              <w:top w:val="nil"/>
              <w:left w:val="single" w:sz="8" w:space="0" w:color="000000"/>
              <w:bottom w:val="single" w:sz="8" w:space="0" w:color="000000"/>
              <w:right w:val="single" w:sz="8" w:space="0" w:color="000000"/>
            </w:tcBorders>
            <w:tcMar>
              <w:top w:w="20" w:type="dxa"/>
              <w:left w:w="80" w:type="dxa"/>
              <w:bottom w:w="100" w:type="dxa"/>
              <w:right w:w="80" w:type="dxa"/>
            </w:tcMar>
          </w:tcPr>
          <w:p w14:paraId="7F47A628" w14:textId="77777777" w:rsidR="00281246" w:rsidRPr="00E94510" w:rsidRDefault="00743AC7">
            <w:pPr>
              <w:widowControl w:val="0"/>
              <w:spacing w:before="240" w:after="240"/>
              <w:rPr>
                <w:b/>
                <w:i/>
                <w:color w:val="FFFFFF"/>
                <w:lang w:val="en-GB"/>
              </w:rPr>
            </w:pPr>
            <w:r w:rsidRPr="00E94510">
              <w:rPr>
                <w:b/>
                <w:i/>
                <w:color w:val="FFFFFF"/>
                <w:lang w:val="en-GB"/>
              </w:rPr>
              <w:t>China</w:t>
            </w:r>
          </w:p>
        </w:tc>
        <w:tc>
          <w:tcPr>
            <w:tcW w:w="1125" w:type="dxa"/>
            <w:tcBorders>
              <w:top w:val="nil"/>
              <w:left w:val="nil"/>
              <w:bottom w:val="single" w:sz="8" w:space="0" w:color="000000"/>
              <w:right w:val="single" w:sz="8" w:space="0" w:color="000000"/>
            </w:tcBorders>
            <w:tcMar>
              <w:top w:w="20" w:type="dxa"/>
              <w:left w:w="80" w:type="dxa"/>
              <w:bottom w:w="100" w:type="dxa"/>
              <w:right w:w="80" w:type="dxa"/>
            </w:tcMar>
          </w:tcPr>
          <w:p w14:paraId="7ABE3CE2"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755" w:type="dxa"/>
            <w:tcBorders>
              <w:top w:val="nil"/>
              <w:left w:val="nil"/>
              <w:bottom w:val="single" w:sz="8" w:space="0" w:color="000000"/>
              <w:right w:val="single" w:sz="8" w:space="0" w:color="000000"/>
            </w:tcBorders>
            <w:tcMar>
              <w:top w:w="20" w:type="dxa"/>
              <w:left w:w="80" w:type="dxa"/>
              <w:bottom w:w="100" w:type="dxa"/>
              <w:right w:w="80" w:type="dxa"/>
            </w:tcMar>
          </w:tcPr>
          <w:p w14:paraId="6F32A55B" w14:textId="77777777" w:rsidR="00281246" w:rsidRPr="00E94510" w:rsidRDefault="00743AC7">
            <w:pPr>
              <w:widowControl w:val="0"/>
              <w:spacing w:before="240" w:after="240"/>
              <w:jc w:val="center"/>
              <w:rPr>
                <w:b/>
                <w:i/>
                <w:color w:val="FFFFFF"/>
                <w:lang w:val="en-GB"/>
              </w:rPr>
            </w:pPr>
            <w:r w:rsidRPr="00E94510">
              <w:rPr>
                <w:b/>
                <w:i/>
                <w:color w:val="FFFFFF"/>
                <w:lang w:val="en-GB"/>
              </w:rPr>
              <w:t>-</w:t>
            </w:r>
          </w:p>
        </w:tc>
        <w:tc>
          <w:tcPr>
            <w:tcW w:w="1545" w:type="dxa"/>
            <w:tcBorders>
              <w:top w:val="nil"/>
              <w:left w:val="nil"/>
              <w:bottom w:val="single" w:sz="8" w:space="0" w:color="000000"/>
              <w:right w:val="single" w:sz="8" w:space="0" w:color="000000"/>
            </w:tcBorders>
            <w:tcMar>
              <w:top w:w="20" w:type="dxa"/>
              <w:left w:w="80" w:type="dxa"/>
              <w:bottom w:w="100" w:type="dxa"/>
              <w:right w:w="80" w:type="dxa"/>
            </w:tcMar>
          </w:tcPr>
          <w:p w14:paraId="04FE8C9F" w14:textId="77777777" w:rsidR="00281246" w:rsidRPr="00E94510" w:rsidRDefault="00743AC7">
            <w:pPr>
              <w:widowControl w:val="0"/>
              <w:spacing w:before="240" w:after="240"/>
              <w:jc w:val="center"/>
              <w:rPr>
                <w:b/>
                <w:i/>
                <w:color w:val="FFFFFF"/>
                <w:lang w:val="en-GB"/>
              </w:rPr>
            </w:pPr>
            <w:r w:rsidRPr="00E94510">
              <w:rPr>
                <w:b/>
                <w:i/>
                <w:color w:val="FFFFFF"/>
                <w:lang w:val="en-GB"/>
              </w:rPr>
              <w:t>-</w:t>
            </w:r>
          </w:p>
        </w:tc>
        <w:tc>
          <w:tcPr>
            <w:tcW w:w="1230" w:type="dxa"/>
            <w:tcBorders>
              <w:top w:val="nil"/>
              <w:left w:val="nil"/>
              <w:bottom w:val="single" w:sz="8" w:space="0" w:color="000000"/>
              <w:right w:val="single" w:sz="8" w:space="0" w:color="000000"/>
            </w:tcBorders>
            <w:tcMar>
              <w:top w:w="20" w:type="dxa"/>
              <w:left w:w="80" w:type="dxa"/>
              <w:bottom w:w="100" w:type="dxa"/>
              <w:right w:w="80" w:type="dxa"/>
            </w:tcMar>
          </w:tcPr>
          <w:p w14:paraId="34656D47" w14:textId="77777777" w:rsidR="00281246" w:rsidRPr="00E94510" w:rsidRDefault="00743AC7">
            <w:pPr>
              <w:widowControl w:val="0"/>
              <w:spacing w:before="240" w:after="240"/>
              <w:jc w:val="center"/>
              <w:rPr>
                <w:b/>
                <w:i/>
                <w:color w:val="FFFFFF"/>
                <w:lang w:val="en-GB"/>
              </w:rPr>
            </w:pPr>
            <w:r w:rsidRPr="00E94510">
              <w:rPr>
                <w:b/>
                <w:i/>
                <w:color w:val="FFFFFF"/>
                <w:lang w:val="en-GB"/>
              </w:rPr>
              <w:t>-</w:t>
            </w:r>
          </w:p>
        </w:tc>
        <w:tc>
          <w:tcPr>
            <w:tcW w:w="1500" w:type="dxa"/>
            <w:tcBorders>
              <w:top w:val="nil"/>
              <w:left w:val="nil"/>
              <w:bottom w:val="single" w:sz="8" w:space="0" w:color="000000"/>
              <w:right w:val="single" w:sz="8" w:space="0" w:color="000000"/>
            </w:tcBorders>
            <w:tcMar>
              <w:top w:w="20" w:type="dxa"/>
              <w:left w:w="80" w:type="dxa"/>
              <w:bottom w:w="100" w:type="dxa"/>
              <w:right w:w="80" w:type="dxa"/>
            </w:tcMar>
          </w:tcPr>
          <w:p w14:paraId="321E1B81"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515" w:type="dxa"/>
            <w:tcBorders>
              <w:top w:val="nil"/>
              <w:left w:val="nil"/>
              <w:bottom w:val="single" w:sz="8" w:space="0" w:color="000000"/>
              <w:right w:val="single" w:sz="8" w:space="0" w:color="000000"/>
            </w:tcBorders>
            <w:tcMar>
              <w:top w:w="20" w:type="dxa"/>
              <w:left w:w="80" w:type="dxa"/>
              <w:bottom w:w="100" w:type="dxa"/>
              <w:right w:w="80" w:type="dxa"/>
            </w:tcMar>
          </w:tcPr>
          <w:p w14:paraId="4811EE1E"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r>
      <w:tr w:rsidR="00281246" w:rsidRPr="00E94510" w14:paraId="27C4B2D6" w14:textId="77777777">
        <w:trPr>
          <w:trHeight w:val="435"/>
        </w:trPr>
        <w:tc>
          <w:tcPr>
            <w:tcW w:w="1470" w:type="dxa"/>
            <w:tcBorders>
              <w:top w:val="nil"/>
              <w:left w:val="single" w:sz="8" w:space="0" w:color="000000"/>
              <w:bottom w:val="single" w:sz="8" w:space="0" w:color="000000"/>
              <w:right w:val="single" w:sz="8" w:space="0" w:color="000000"/>
            </w:tcBorders>
            <w:tcMar>
              <w:top w:w="20" w:type="dxa"/>
              <w:left w:w="80" w:type="dxa"/>
              <w:bottom w:w="100" w:type="dxa"/>
              <w:right w:w="80" w:type="dxa"/>
            </w:tcMar>
          </w:tcPr>
          <w:p w14:paraId="685899F1" w14:textId="77777777" w:rsidR="00281246" w:rsidRPr="00E94510" w:rsidRDefault="00743AC7">
            <w:pPr>
              <w:widowControl w:val="0"/>
              <w:spacing w:before="240" w:after="240"/>
              <w:rPr>
                <w:b/>
                <w:i/>
                <w:color w:val="FFFFFF"/>
                <w:lang w:val="en-GB"/>
              </w:rPr>
            </w:pPr>
            <w:r w:rsidRPr="00E94510">
              <w:rPr>
                <w:b/>
                <w:i/>
                <w:color w:val="FFFFFF"/>
                <w:lang w:val="en-GB"/>
              </w:rPr>
              <w:t>Indonesia</w:t>
            </w:r>
          </w:p>
        </w:tc>
        <w:tc>
          <w:tcPr>
            <w:tcW w:w="1125" w:type="dxa"/>
            <w:tcBorders>
              <w:top w:val="nil"/>
              <w:left w:val="nil"/>
              <w:bottom w:val="single" w:sz="8" w:space="0" w:color="000000"/>
              <w:right w:val="single" w:sz="8" w:space="0" w:color="000000"/>
            </w:tcBorders>
            <w:tcMar>
              <w:top w:w="20" w:type="dxa"/>
              <w:left w:w="80" w:type="dxa"/>
              <w:bottom w:w="100" w:type="dxa"/>
              <w:right w:w="80" w:type="dxa"/>
            </w:tcMar>
          </w:tcPr>
          <w:p w14:paraId="2A16A604"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755" w:type="dxa"/>
            <w:tcBorders>
              <w:top w:val="nil"/>
              <w:left w:val="nil"/>
              <w:bottom w:val="single" w:sz="8" w:space="0" w:color="000000"/>
              <w:right w:val="single" w:sz="8" w:space="0" w:color="000000"/>
            </w:tcBorders>
            <w:tcMar>
              <w:top w:w="20" w:type="dxa"/>
              <w:left w:w="80" w:type="dxa"/>
              <w:bottom w:w="100" w:type="dxa"/>
              <w:right w:w="80" w:type="dxa"/>
            </w:tcMar>
          </w:tcPr>
          <w:p w14:paraId="41EBBDC5"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545" w:type="dxa"/>
            <w:tcBorders>
              <w:top w:val="nil"/>
              <w:left w:val="nil"/>
              <w:bottom w:val="single" w:sz="8" w:space="0" w:color="000000"/>
              <w:right w:val="single" w:sz="8" w:space="0" w:color="000000"/>
            </w:tcBorders>
            <w:tcMar>
              <w:top w:w="20" w:type="dxa"/>
              <w:left w:w="80" w:type="dxa"/>
              <w:bottom w:w="100" w:type="dxa"/>
              <w:right w:w="80" w:type="dxa"/>
            </w:tcMar>
          </w:tcPr>
          <w:p w14:paraId="0BDC1200" w14:textId="77777777" w:rsidR="00281246" w:rsidRPr="00E94510" w:rsidRDefault="00743AC7">
            <w:pPr>
              <w:widowControl w:val="0"/>
              <w:spacing w:before="240" w:after="240"/>
              <w:jc w:val="center"/>
              <w:rPr>
                <w:b/>
                <w:i/>
                <w:color w:val="FFFFFF"/>
                <w:lang w:val="en-GB"/>
              </w:rPr>
            </w:pPr>
            <w:r w:rsidRPr="00E94510">
              <w:rPr>
                <w:b/>
                <w:i/>
                <w:color w:val="FFFFFF"/>
                <w:lang w:val="en-GB"/>
              </w:rPr>
              <w:t>-</w:t>
            </w:r>
          </w:p>
        </w:tc>
        <w:tc>
          <w:tcPr>
            <w:tcW w:w="1230" w:type="dxa"/>
            <w:tcBorders>
              <w:top w:val="nil"/>
              <w:left w:val="nil"/>
              <w:bottom w:val="single" w:sz="8" w:space="0" w:color="000000"/>
              <w:right w:val="single" w:sz="8" w:space="0" w:color="000000"/>
            </w:tcBorders>
            <w:tcMar>
              <w:top w:w="20" w:type="dxa"/>
              <w:left w:w="80" w:type="dxa"/>
              <w:bottom w:w="100" w:type="dxa"/>
              <w:right w:w="80" w:type="dxa"/>
            </w:tcMar>
          </w:tcPr>
          <w:p w14:paraId="14AB3EE7"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500" w:type="dxa"/>
            <w:tcBorders>
              <w:top w:val="nil"/>
              <w:left w:val="nil"/>
              <w:bottom w:val="single" w:sz="8" w:space="0" w:color="000000"/>
              <w:right w:val="single" w:sz="8" w:space="0" w:color="000000"/>
            </w:tcBorders>
            <w:tcMar>
              <w:top w:w="20" w:type="dxa"/>
              <w:left w:w="80" w:type="dxa"/>
              <w:bottom w:w="100" w:type="dxa"/>
              <w:right w:w="80" w:type="dxa"/>
            </w:tcMar>
          </w:tcPr>
          <w:p w14:paraId="0898E08A"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515" w:type="dxa"/>
            <w:tcBorders>
              <w:top w:val="nil"/>
              <w:left w:val="nil"/>
              <w:bottom w:val="single" w:sz="8" w:space="0" w:color="000000"/>
              <w:right w:val="single" w:sz="8" w:space="0" w:color="000000"/>
            </w:tcBorders>
            <w:tcMar>
              <w:top w:w="20" w:type="dxa"/>
              <w:left w:w="80" w:type="dxa"/>
              <w:bottom w:w="100" w:type="dxa"/>
              <w:right w:w="80" w:type="dxa"/>
            </w:tcMar>
          </w:tcPr>
          <w:p w14:paraId="6BEABF95"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r>
      <w:tr w:rsidR="00281246" w:rsidRPr="00E94510" w14:paraId="084899F0" w14:textId="77777777">
        <w:trPr>
          <w:trHeight w:val="385"/>
        </w:trPr>
        <w:tc>
          <w:tcPr>
            <w:tcW w:w="1470" w:type="dxa"/>
            <w:tcBorders>
              <w:top w:val="nil"/>
              <w:left w:val="single" w:sz="8" w:space="0" w:color="000000"/>
              <w:bottom w:val="single" w:sz="8" w:space="0" w:color="000000"/>
              <w:right w:val="single" w:sz="8" w:space="0" w:color="000000"/>
            </w:tcBorders>
            <w:tcMar>
              <w:top w:w="20" w:type="dxa"/>
              <w:left w:w="80" w:type="dxa"/>
              <w:bottom w:w="100" w:type="dxa"/>
              <w:right w:w="80" w:type="dxa"/>
            </w:tcMar>
          </w:tcPr>
          <w:p w14:paraId="400D9163" w14:textId="77777777" w:rsidR="00281246" w:rsidRPr="00E94510" w:rsidRDefault="00743AC7">
            <w:pPr>
              <w:widowControl w:val="0"/>
              <w:spacing w:before="240" w:after="240"/>
              <w:rPr>
                <w:b/>
                <w:i/>
                <w:color w:val="FFFFFF"/>
                <w:lang w:val="en-GB"/>
              </w:rPr>
            </w:pPr>
            <w:r w:rsidRPr="00E94510">
              <w:rPr>
                <w:b/>
                <w:i/>
                <w:color w:val="FFFFFF"/>
                <w:lang w:val="en-GB"/>
              </w:rPr>
              <w:t>India</w:t>
            </w:r>
          </w:p>
        </w:tc>
        <w:tc>
          <w:tcPr>
            <w:tcW w:w="1125" w:type="dxa"/>
            <w:tcBorders>
              <w:top w:val="nil"/>
              <w:left w:val="nil"/>
              <w:bottom w:val="single" w:sz="8" w:space="0" w:color="000000"/>
              <w:right w:val="single" w:sz="8" w:space="0" w:color="000000"/>
            </w:tcBorders>
            <w:tcMar>
              <w:top w:w="20" w:type="dxa"/>
              <w:left w:w="80" w:type="dxa"/>
              <w:bottom w:w="100" w:type="dxa"/>
              <w:right w:w="80" w:type="dxa"/>
            </w:tcMar>
          </w:tcPr>
          <w:p w14:paraId="638F4E0B"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755" w:type="dxa"/>
            <w:tcBorders>
              <w:top w:val="nil"/>
              <w:left w:val="nil"/>
              <w:bottom w:val="single" w:sz="8" w:space="0" w:color="000000"/>
              <w:right w:val="single" w:sz="8" w:space="0" w:color="000000"/>
            </w:tcBorders>
            <w:tcMar>
              <w:top w:w="20" w:type="dxa"/>
              <w:left w:w="80" w:type="dxa"/>
              <w:bottom w:w="100" w:type="dxa"/>
              <w:right w:w="80" w:type="dxa"/>
            </w:tcMar>
          </w:tcPr>
          <w:p w14:paraId="0BB1D5FD"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545" w:type="dxa"/>
            <w:tcBorders>
              <w:top w:val="nil"/>
              <w:left w:val="nil"/>
              <w:bottom w:val="single" w:sz="8" w:space="0" w:color="000000"/>
              <w:right w:val="single" w:sz="8" w:space="0" w:color="000000"/>
            </w:tcBorders>
            <w:tcMar>
              <w:top w:w="20" w:type="dxa"/>
              <w:left w:w="80" w:type="dxa"/>
              <w:bottom w:w="100" w:type="dxa"/>
              <w:right w:w="80" w:type="dxa"/>
            </w:tcMar>
          </w:tcPr>
          <w:p w14:paraId="406B0428" w14:textId="77777777" w:rsidR="00281246" w:rsidRPr="00E94510" w:rsidRDefault="00743AC7">
            <w:pPr>
              <w:widowControl w:val="0"/>
              <w:spacing w:before="240" w:after="240"/>
              <w:jc w:val="center"/>
              <w:rPr>
                <w:b/>
                <w:i/>
                <w:color w:val="FFFFFF"/>
                <w:lang w:val="en-GB"/>
              </w:rPr>
            </w:pPr>
            <w:r w:rsidRPr="00E94510">
              <w:rPr>
                <w:b/>
                <w:i/>
                <w:color w:val="FFFFFF"/>
                <w:lang w:val="en-GB"/>
              </w:rPr>
              <w:t>-</w:t>
            </w:r>
          </w:p>
        </w:tc>
        <w:tc>
          <w:tcPr>
            <w:tcW w:w="1230" w:type="dxa"/>
            <w:tcBorders>
              <w:top w:val="nil"/>
              <w:left w:val="nil"/>
              <w:bottom w:val="single" w:sz="8" w:space="0" w:color="000000"/>
              <w:right w:val="single" w:sz="8" w:space="0" w:color="000000"/>
            </w:tcBorders>
            <w:tcMar>
              <w:top w:w="20" w:type="dxa"/>
              <w:left w:w="80" w:type="dxa"/>
              <w:bottom w:w="100" w:type="dxa"/>
              <w:right w:w="80" w:type="dxa"/>
            </w:tcMar>
          </w:tcPr>
          <w:p w14:paraId="648B43AD" w14:textId="77777777" w:rsidR="00281246" w:rsidRPr="00E94510" w:rsidRDefault="00743AC7">
            <w:pPr>
              <w:widowControl w:val="0"/>
              <w:spacing w:before="240" w:after="240"/>
              <w:jc w:val="center"/>
              <w:rPr>
                <w:b/>
                <w:i/>
                <w:color w:val="FFFFFF"/>
                <w:lang w:val="en-GB"/>
              </w:rPr>
            </w:pPr>
            <w:r w:rsidRPr="00E94510">
              <w:rPr>
                <w:b/>
                <w:i/>
                <w:color w:val="FFFFFF"/>
                <w:lang w:val="en-GB"/>
              </w:rPr>
              <w:t>-</w:t>
            </w:r>
          </w:p>
        </w:tc>
        <w:tc>
          <w:tcPr>
            <w:tcW w:w="1500" w:type="dxa"/>
            <w:tcBorders>
              <w:top w:val="nil"/>
              <w:left w:val="nil"/>
              <w:bottom w:val="single" w:sz="8" w:space="0" w:color="000000"/>
              <w:right w:val="single" w:sz="8" w:space="0" w:color="000000"/>
            </w:tcBorders>
            <w:tcMar>
              <w:top w:w="20" w:type="dxa"/>
              <w:left w:w="80" w:type="dxa"/>
              <w:bottom w:w="100" w:type="dxa"/>
              <w:right w:w="80" w:type="dxa"/>
            </w:tcMar>
          </w:tcPr>
          <w:p w14:paraId="4DB0392F"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515" w:type="dxa"/>
            <w:tcBorders>
              <w:top w:val="nil"/>
              <w:left w:val="nil"/>
              <w:bottom w:val="single" w:sz="8" w:space="0" w:color="000000"/>
              <w:right w:val="single" w:sz="8" w:space="0" w:color="000000"/>
            </w:tcBorders>
            <w:tcMar>
              <w:top w:w="20" w:type="dxa"/>
              <w:left w:w="80" w:type="dxa"/>
              <w:bottom w:w="100" w:type="dxa"/>
              <w:right w:w="80" w:type="dxa"/>
            </w:tcMar>
          </w:tcPr>
          <w:p w14:paraId="7C8EAB25"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r>
      <w:tr w:rsidR="00281246" w:rsidRPr="00E94510" w14:paraId="0FCAF8A6" w14:textId="77777777">
        <w:trPr>
          <w:trHeight w:val="370"/>
        </w:trPr>
        <w:tc>
          <w:tcPr>
            <w:tcW w:w="1470" w:type="dxa"/>
            <w:tcBorders>
              <w:top w:val="nil"/>
              <w:left w:val="single" w:sz="8" w:space="0" w:color="000000"/>
              <w:bottom w:val="single" w:sz="8" w:space="0" w:color="000000"/>
              <w:right w:val="single" w:sz="8" w:space="0" w:color="000000"/>
            </w:tcBorders>
            <w:tcMar>
              <w:top w:w="20" w:type="dxa"/>
              <w:left w:w="80" w:type="dxa"/>
              <w:bottom w:w="100" w:type="dxa"/>
              <w:right w:w="80" w:type="dxa"/>
            </w:tcMar>
          </w:tcPr>
          <w:p w14:paraId="64464A73" w14:textId="77777777" w:rsidR="00281246" w:rsidRPr="00E94510" w:rsidRDefault="00743AC7">
            <w:pPr>
              <w:widowControl w:val="0"/>
              <w:spacing w:before="240" w:after="240"/>
              <w:rPr>
                <w:b/>
                <w:i/>
                <w:color w:val="FFFFFF"/>
                <w:lang w:val="en-GB"/>
              </w:rPr>
            </w:pPr>
            <w:r w:rsidRPr="00E94510">
              <w:rPr>
                <w:b/>
                <w:i/>
                <w:color w:val="FFFFFF"/>
                <w:lang w:val="en-GB"/>
              </w:rPr>
              <w:t>Vietnam</w:t>
            </w:r>
          </w:p>
        </w:tc>
        <w:tc>
          <w:tcPr>
            <w:tcW w:w="1125" w:type="dxa"/>
            <w:tcBorders>
              <w:top w:val="nil"/>
              <w:left w:val="nil"/>
              <w:bottom w:val="single" w:sz="8" w:space="0" w:color="000000"/>
              <w:right w:val="single" w:sz="8" w:space="0" w:color="000000"/>
            </w:tcBorders>
            <w:tcMar>
              <w:top w:w="20" w:type="dxa"/>
              <w:left w:w="80" w:type="dxa"/>
              <w:bottom w:w="100" w:type="dxa"/>
              <w:right w:w="80" w:type="dxa"/>
            </w:tcMar>
          </w:tcPr>
          <w:p w14:paraId="77A31BCE"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755" w:type="dxa"/>
            <w:tcBorders>
              <w:top w:val="nil"/>
              <w:left w:val="nil"/>
              <w:bottom w:val="single" w:sz="8" w:space="0" w:color="000000"/>
              <w:right w:val="single" w:sz="8" w:space="0" w:color="000000"/>
            </w:tcBorders>
            <w:tcMar>
              <w:top w:w="20" w:type="dxa"/>
              <w:left w:w="80" w:type="dxa"/>
              <w:bottom w:w="100" w:type="dxa"/>
              <w:right w:w="80" w:type="dxa"/>
            </w:tcMar>
          </w:tcPr>
          <w:p w14:paraId="476E9B9B"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545" w:type="dxa"/>
            <w:tcBorders>
              <w:top w:val="nil"/>
              <w:left w:val="nil"/>
              <w:bottom w:val="single" w:sz="8" w:space="0" w:color="000000"/>
              <w:right w:val="single" w:sz="8" w:space="0" w:color="000000"/>
            </w:tcBorders>
            <w:tcMar>
              <w:top w:w="20" w:type="dxa"/>
              <w:left w:w="80" w:type="dxa"/>
              <w:bottom w:w="100" w:type="dxa"/>
              <w:right w:w="80" w:type="dxa"/>
            </w:tcMar>
          </w:tcPr>
          <w:p w14:paraId="79546731" w14:textId="77777777" w:rsidR="00281246" w:rsidRPr="00E94510" w:rsidRDefault="00743AC7">
            <w:pPr>
              <w:widowControl w:val="0"/>
              <w:spacing w:before="240" w:after="240"/>
              <w:jc w:val="center"/>
              <w:rPr>
                <w:b/>
                <w:i/>
                <w:color w:val="FFFFFF"/>
                <w:lang w:val="en-GB"/>
              </w:rPr>
            </w:pPr>
            <w:r w:rsidRPr="00E94510">
              <w:rPr>
                <w:b/>
                <w:i/>
                <w:color w:val="FFFFFF"/>
                <w:lang w:val="en-GB"/>
              </w:rPr>
              <w:t>-</w:t>
            </w:r>
          </w:p>
        </w:tc>
        <w:tc>
          <w:tcPr>
            <w:tcW w:w="1230" w:type="dxa"/>
            <w:tcBorders>
              <w:top w:val="nil"/>
              <w:left w:val="nil"/>
              <w:bottom w:val="single" w:sz="8" w:space="0" w:color="000000"/>
              <w:right w:val="single" w:sz="8" w:space="0" w:color="000000"/>
            </w:tcBorders>
            <w:tcMar>
              <w:top w:w="20" w:type="dxa"/>
              <w:left w:w="80" w:type="dxa"/>
              <w:bottom w:w="100" w:type="dxa"/>
              <w:right w:w="80" w:type="dxa"/>
            </w:tcMar>
          </w:tcPr>
          <w:p w14:paraId="3607B37E"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500" w:type="dxa"/>
            <w:tcBorders>
              <w:top w:val="nil"/>
              <w:left w:val="nil"/>
              <w:bottom w:val="single" w:sz="8" w:space="0" w:color="000000"/>
              <w:right w:val="single" w:sz="8" w:space="0" w:color="000000"/>
            </w:tcBorders>
            <w:tcMar>
              <w:top w:w="20" w:type="dxa"/>
              <w:left w:w="80" w:type="dxa"/>
              <w:bottom w:w="100" w:type="dxa"/>
              <w:right w:w="80" w:type="dxa"/>
            </w:tcMar>
          </w:tcPr>
          <w:p w14:paraId="607DC9CE"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515" w:type="dxa"/>
            <w:tcBorders>
              <w:top w:val="nil"/>
              <w:left w:val="nil"/>
              <w:bottom w:val="single" w:sz="8" w:space="0" w:color="000000"/>
              <w:right w:val="single" w:sz="8" w:space="0" w:color="000000"/>
            </w:tcBorders>
            <w:tcMar>
              <w:top w:w="20" w:type="dxa"/>
              <w:left w:w="80" w:type="dxa"/>
              <w:bottom w:w="100" w:type="dxa"/>
              <w:right w:w="80" w:type="dxa"/>
            </w:tcMar>
          </w:tcPr>
          <w:p w14:paraId="54B3C64A"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r>
      <w:tr w:rsidR="00281246" w:rsidRPr="00E94510" w14:paraId="13D2C7BB" w14:textId="77777777">
        <w:trPr>
          <w:trHeight w:val="450"/>
        </w:trPr>
        <w:tc>
          <w:tcPr>
            <w:tcW w:w="1470" w:type="dxa"/>
            <w:tcBorders>
              <w:top w:val="nil"/>
              <w:left w:val="single" w:sz="8" w:space="0" w:color="000000"/>
              <w:bottom w:val="single" w:sz="8" w:space="0" w:color="000000"/>
              <w:right w:val="single" w:sz="8" w:space="0" w:color="000000"/>
            </w:tcBorders>
            <w:tcMar>
              <w:top w:w="20" w:type="dxa"/>
              <w:left w:w="80" w:type="dxa"/>
              <w:bottom w:w="100" w:type="dxa"/>
              <w:right w:w="80" w:type="dxa"/>
            </w:tcMar>
          </w:tcPr>
          <w:p w14:paraId="78B1C421" w14:textId="44035D1D" w:rsidR="00281246" w:rsidRPr="00E94510" w:rsidRDefault="00743AC7">
            <w:pPr>
              <w:widowControl w:val="0"/>
              <w:spacing w:before="240" w:after="240"/>
              <w:rPr>
                <w:b/>
                <w:i/>
                <w:color w:val="FFFFFF"/>
                <w:lang w:val="en-GB"/>
              </w:rPr>
            </w:pPr>
            <w:r w:rsidRPr="00E94510">
              <w:rPr>
                <w:b/>
                <w:i/>
                <w:color w:val="FFFFFF"/>
                <w:lang w:val="en-GB"/>
              </w:rPr>
              <w:t>EU-2</w:t>
            </w:r>
            <w:r w:rsidR="00CD08F1">
              <w:rPr>
                <w:b/>
                <w:i/>
                <w:color w:val="FFFFFF"/>
                <w:lang w:val="en-GB"/>
              </w:rPr>
              <w:t>8</w:t>
            </w:r>
            <w:r w:rsidRPr="00E94510">
              <w:rPr>
                <w:b/>
                <w:i/>
                <w:color w:val="FFFFFF"/>
                <w:vertAlign w:val="superscript"/>
                <w:lang w:val="en-GB"/>
              </w:rPr>
              <w:footnoteReference w:id="114"/>
            </w:r>
          </w:p>
        </w:tc>
        <w:tc>
          <w:tcPr>
            <w:tcW w:w="1125" w:type="dxa"/>
            <w:tcBorders>
              <w:top w:val="nil"/>
              <w:left w:val="nil"/>
              <w:bottom w:val="single" w:sz="8" w:space="0" w:color="000000"/>
              <w:right w:val="single" w:sz="8" w:space="0" w:color="000000"/>
            </w:tcBorders>
            <w:tcMar>
              <w:top w:w="20" w:type="dxa"/>
              <w:left w:w="80" w:type="dxa"/>
              <w:bottom w:w="100" w:type="dxa"/>
              <w:right w:w="80" w:type="dxa"/>
            </w:tcMar>
          </w:tcPr>
          <w:p w14:paraId="56BE1F4C"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755" w:type="dxa"/>
            <w:tcBorders>
              <w:top w:val="nil"/>
              <w:left w:val="nil"/>
              <w:bottom w:val="single" w:sz="8" w:space="0" w:color="000000"/>
              <w:right w:val="single" w:sz="8" w:space="0" w:color="000000"/>
            </w:tcBorders>
            <w:tcMar>
              <w:top w:w="20" w:type="dxa"/>
              <w:left w:w="80" w:type="dxa"/>
              <w:bottom w:w="100" w:type="dxa"/>
              <w:right w:w="80" w:type="dxa"/>
            </w:tcMar>
          </w:tcPr>
          <w:p w14:paraId="56C38372"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545" w:type="dxa"/>
            <w:tcBorders>
              <w:top w:val="nil"/>
              <w:left w:val="nil"/>
              <w:bottom w:val="single" w:sz="8" w:space="0" w:color="000000"/>
              <w:right w:val="single" w:sz="8" w:space="0" w:color="000000"/>
            </w:tcBorders>
            <w:tcMar>
              <w:top w:w="20" w:type="dxa"/>
              <w:left w:w="80" w:type="dxa"/>
              <w:bottom w:w="100" w:type="dxa"/>
              <w:right w:w="80" w:type="dxa"/>
            </w:tcMar>
          </w:tcPr>
          <w:p w14:paraId="25968847"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230" w:type="dxa"/>
            <w:tcBorders>
              <w:top w:val="nil"/>
              <w:left w:val="nil"/>
              <w:bottom w:val="single" w:sz="8" w:space="0" w:color="000000"/>
              <w:right w:val="single" w:sz="8" w:space="0" w:color="000000"/>
            </w:tcBorders>
            <w:tcMar>
              <w:top w:w="20" w:type="dxa"/>
              <w:left w:w="80" w:type="dxa"/>
              <w:bottom w:w="100" w:type="dxa"/>
              <w:right w:w="80" w:type="dxa"/>
            </w:tcMar>
          </w:tcPr>
          <w:p w14:paraId="1AF6D9CC"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500" w:type="dxa"/>
            <w:tcBorders>
              <w:top w:val="nil"/>
              <w:left w:val="nil"/>
              <w:bottom w:val="single" w:sz="8" w:space="0" w:color="000000"/>
              <w:right w:val="single" w:sz="8" w:space="0" w:color="000000"/>
            </w:tcBorders>
            <w:tcMar>
              <w:top w:w="20" w:type="dxa"/>
              <w:left w:w="80" w:type="dxa"/>
              <w:bottom w:w="100" w:type="dxa"/>
              <w:right w:w="80" w:type="dxa"/>
            </w:tcMar>
          </w:tcPr>
          <w:p w14:paraId="0B0E1DF6"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515" w:type="dxa"/>
            <w:tcBorders>
              <w:top w:val="nil"/>
              <w:left w:val="nil"/>
              <w:bottom w:val="single" w:sz="8" w:space="0" w:color="000000"/>
              <w:right w:val="single" w:sz="8" w:space="0" w:color="000000"/>
            </w:tcBorders>
            <w:tcMar>
              <w:top w:w="20" w:type="dxa"/>
              <w:left w:w="80" w:type="dxa"/>
              <w:bottom w:w="100" w:type="dxa"/>
              <w:right w:w="80" w:type="dxa"/>
            </w:tcMar>
          </w:tcPr>
          <w:p w14:paraId="37A01858"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r>
      <w:tr w:rsidR="00281246" w:rsidRPr="00E94510" w14:paraId="2FBF39B6" w14:textId="77777777">
        <w:trPr>
          <w:trHeight w:val="385"/>
        </w:trPr>
        <w:tc>
          <w:tcPr>
            <w:tcW w:w="1470" w:type="dxa"/>
            <w:tcBorders>
              <w:top w:val="nil"/>
              <w:left w:val="single" w:sz="8" w:space="0" w:color="000000"/>
              <w:bottom w:val="single" w:sz="8" w:space="0" w:color="000000"/>
              <w:right w:val="single" w:sz="8" w:space="0" w:color="000000"/>
            </w:tcBorders>
            <w:tcMar>
              <w:top w:w="20" w:type="dxa"/>
              <w:left w:w="80" w:type="dxa"/>
              <w:bottom w:w="100" w:type="dxa"/>
              <w:right w:w="80" w:type="dxa"/>
            </w:tcMar>
          </w:tcPr>
          <w:p w14:paraId="184509A8" w14:textId="77777777" w:rsidR="00281246" w:rsidRPr="00E94510" w:rsidRDefault="00743AC7">
            <w:pPr>
              <w:widowControl w:val="0"/>
              <w:spacing w:before="240" w:after="240"/>
              <w:rPr>
                <w:b/>
                <w:i/>
                <w:color w:val="FFFFFF"/>
                <w:lang w:val="en-GB"/>
              </w:rPr>
            </w:pPr>
            <w:r w:rsidRPr="00E94510">
              <w:rPr>
                <w:b/>
                <w:i/>
                <w:color w:val="FFFFFF"/>
                <w:lang w:val="en-GB"/>
              </w:rPr>
              <w:t>USA</w:t>
            </w:r>
          </w:p>
        </w:tc>
        <w:tc>
          <w:tcPr>
            <w:tcW w:w="1125" w:type="dxa"/>
            <w:tcBorders>
              <w:top w:val="nil"/>
              <w:left w:val="nil"/>
              <w:bottom w:val="single" w:sz="8" w:space="0" w:color="000000"/>
              <w:right w:val="single" w:sz="8" w:space="0" w:color="000000"/>
            </w:tcBorders>
            <w:tcMar>
              <w:top w:w="20" w:type="dxa"/>
              <w:left w:w="80" w:type="dxa"/>
              <w:bottom w:w="100" w:type="dxa"/>
              <w:right w:w="80" w:type="dxa"/>
            </w:tcMar>
          </w:tcPr>
          <w:p w14:paraId="2B9038C4" w14:textId="77777777" w:rsidR="00281246" w:rsidRPr="00E94510" w:rsidRDefault="00743AC7">
            <w:pPr>
              <w:widowControl w:val="0"/>
              <w:spacing w:before="240" w:after="240"/>
              <w:jc w:val="center"/>
              <w:rPr>
                <w:b/>
                <w:i/>
                <w:color w:val="FFFFFF"/>
                <w:lang w:val="en-GB"/>
              </w:rPr>
            </w:pPr>
            <w:r w:rsidRPr="00E94510">
              <w:rPr>
                <w:b/>
                <w:i/>
                <w:color w:val="FFFFFF"/>
                <w:lang w:val="en-GB"/>
              </w:rPr>
              <w:t>-</w:t>
            </w:r>
          </w:p>
        </w:tc>
        <w:tc>
          <w:tcPr>
            <w:tcW w:w="1755" w:type="dxa"/>
            <w:tcBorders>
              <w:top w:val="nil"/>
              <w:left w:val="nil"/>
              <w:bottom w:val="single" w:sz="8" w:space="0" w:color="000000"/>
              <w:right w:val="single" w:sz="8" w:space="0" w:color="000000"/>
            </w:tcBorders>
            <w:tcMar>
              <w:top w:w="20" w:type="dxa"/>
              <w:left w:w="80" w:type="dxa"/>
              <w:bottom w:w="100" w:type="dxa"/>
              <w:right w:w="80" w:type="dxa"/>
            </w:tcMar>
          </w:tcPr>
          <w:p w14:paraId="56DE7CA9"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545" w:type="dxa"/>
            <w:tcBorders>
              <w:top w:val="nil"/>
              <w:left w:val="nil"/>
              <w:bottom w:val="single" w:sz="8" w:space="0" w:color="000000"/>
              <w:right w:val="single" w:sz="8" w:space="0" w:color="000000"/>
            </w:tcBorders>
            <w:tcMar>
              <w:top w:w="20" w:type="dxa"/>
              <w:left w:w="80" w:type="dxa"/>
              <w:bottom w:w="100" w:type="dxa"/>
              <w:right w:w="80" w:type="dxa"/>
            </w:tcMar>
          </w:tcPr>
          <w:p w14:paraId="306147D9"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230" w:type="dxa"/>
            <w:tcBorders>
              <w:top w:val="nil"/>
              <w:left w:val="nil"/>
              <w:bottom w:val="single" w:sz="8" w:space="0" w:color="000000"/>
              <w:right w:val="single" w:sz="8" w:space="0" w:color="000000"/>
            </w:tcBorders>
            <w:tcMar>
              <w:top w:w="20" w:type="dxa"/>
              <w:left w:w="80" w:type="dxa"/>
              <w:bottom w:w="100" w:type="dxa"/>
              <w:right w:w="80" w:type="dxa"/>
            </w:tcMar>
          </w:tcPr>
          <w:p w14:paraId="1F0E0B41"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500" w:type="dxa"/>
            <w:tcBorders>
              <w:top w:val="nil"/>
              <w:left w:val="nil"/>
              <w:bottom w:val="single" w:sz="8" w:space="0" w:color="000000"/>
              <w:right w:val="single" w:sz="8" w:space="0" w:color="000000"/>
            </w:tcBorders>
            <w:tcMar>
              <w:top w:w="20" w:type="dxa"/>
              <w:left w:w="80" w:type="dxa"/>
              <w:bottom w:w="100" w:type="dxa"/>
              <w:right w:w="80" w:type="dxa"/>
            </w:tcMar>
          </w:tcPr>
          <w:p w14:paraId="78D271A9"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515" w:type="dxa"/>
            <w:tcBorders>
              <w:top w:val="nil"/>
              <w:left w:val="nil"/>
              <w:bottom w:val="single" w:sz="8" w:space="0" w:color="000000"/>
              <w:right w:val="single" w:sz="8" w:space="0" w:color="000000"/>
            </w:tcBorders>
            <w:tcMar>
              <w:top w:w="20" w:type="dxa"/>
              <w:left w:w="80" w:type="dxa"/>
              <w:bottom w:w="100" w:type="dxa"/>
              <w:right w:w="80" w:type="dxa"/>
            </w:tcMar>
          </w:tcPr>
          <w:p w14:paraId="3C5F5150"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r>
      <w:tr w:rsidR="00281246" w:rsidRPr="00E94510" w14:paraId="79944C32" w14:textId="77777777">
        <w:trPr>
          <w:trHeight w:val="595"/>
        </w:trPr>
        <w:tc>
          <w:tcPr>
            <w:tcW w:w="1470" w:type="dxa"/>
            <w:tcBorders>
              <w:top w:val="nil"/>
              <w:left w:val="single" w:sz="8" w:space="0" w:color="000000"/>
              <w:bottom w:val="single" w:sz="8" w:space="0" w:color="000000"/>
              <w:right w:val="single" w:sz="8" w:space="0" w:color="000000"/>
            </w:tcBorders>
            <w:tcMar>
              <w:top w:w="20" w:type="dxa"/>
              <w:left w:w="80" w:type="dxa"/>
              <w:bottom w:w="100" w:type="dxa"/>
              <w:right w:w="80" w:type="dxa"/>
            </w:tcMar>
          </w:tcPr>
          <w:p w14:paraId="5615D82D" w14:textId="77777777" w:rsidR="00281246" w:rsidRPr="00E94510" w:rsidRDefault="00743AC7">
            <w:pPr>
              <w:widowControl w:val="0"/>
              <w:spacing w:before="240" w:after="240"/>
              <w:rPr>
                <w:b/>
                <w:i/>
                <w:color w:val="FFFFFF"/>
                <w:lang w:val="en-GB"/>
              </w:rPr>
            </w:pPr>
            <w:r w:rsidRPr="00E94510">
              <w:rPr>
                <w:b/>
                <w:i/>
                <w:color w:val="FFFFFF"/>
                <w:lang w:val="en-GB"/>
              </w:rPr>
              <w:t xml:space="preserve">Russian Federation  </w:t>
            </w:r>
          </w:p>
        </w:tc>
        <w:tc>
          <w:tcPr>
            <w:tcW w:w="1125" w:type="dxa"/>
            <w:tcBorders>
              <w:top w:val="nil"/>
              <w:left w:val="nil"/>
              <w:bottom w:val="single" w:sz="8" w:space="0" w:color="000000"/>
              <w:right w:val="single" w:sz="8" w:space="0" w:color="000000"/>
            </w:tcBorders>
            <w:tcMar>
              <w:top w:w="20" w:type="dxa"/>
              <w:left w:w="80" w:type="dxa"/>
              <w:bottom w:w="100" w:type="dxa"/>
              <w:right w:w="80" w:type="dxa"/>
            </w:tcMar>
          </w:tcPr>
          <w:p w14:paraId="1F13271E"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755" w:type="dxa"/>
            <w:tcBorders>
              <w:top w:val="nil"/>
              <w:left w:val="nil"/>
              <w:bottom w:val="single" w:sz="8" w:space="0" w:color="000000"/>
              <w:right w:val="single" w:sz="8" w:space="0" w:color="000000"/>
            </w:tcBorders>
            <w:tcMar>
              <w:top w:w="20" w:type="dxa"/>
              <w:left w:w="80" w:type="dxa"/>
              <w:bottom w:w="100" w:type="dxa"/>
              <w:right w:w="80" w:type="dxa"/>
            </w:tcMar>
          </w:tcPr>
          <w:p w14:paraId="3CD06B89"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545" w:type="dxa"/>
            <w:tcBorders>
              <w:top w:val="nil"/>
              <w:left w:val="nil"/>
              <w:bottom w:val="single" w:sz="8" w:space="0" w:color="000000"/>
              <w:right w:val="single" w:sz="8" w:space="0" w:color="000000"/>
            </w:tcBorders>
            <w:tcMar>
              <w:top w:w="20" w:type="dxa"/>
              <w:left w:w="80" w:type="dxa"/>
              <w:bottom w:w="100" w:type="dxa"/>
              <w:right w:w="80" w:type="dxa"/>
            </w:tcMar>
          </w:tcPr>
          <w:p w14:paraId="22BA451B" w14:textId="77777777" w:rsidR="00281246" w:rsidRPr="00E94510" w:rsidRDefault="00743AC7">
            <w:pPr>
              <w:widowControl w:val="0"/>
              <w:spacing w:before="240" w:after="240"/>
              <w:jc w:val="center"/>
              <w:rPr>
                <w:b/>
                <w:i/>
                <w:color w:val="FFFFFF"/>
                <w:lang w:val="en-GB"/>
              </w:rPr>
            </w:pPr>
            <w:r w:rsidRPr="00E94510">
              <w:rPr>
                <w:b/>
                <w:i/>
                <w:color w:val="FFFFFF"/>
                <w:lang w:val="en-GB"/>
              </w:rPr>
              <w:t>-</w:t>
            </w:r>
          </w:p>
        </w:tc>
        <w:tc>
          <w:tcPr>
            <w:tcW w:w="1230" w:type="dxa"/>
            <w:tcBorders>
              <w:top w:val="nil"/>
              <w:left w:val="nil"/>
              <w:bottom w:val="single" w:sz="8" w:space="0" w:color="000000"/>
              <w:right w:val="single" w:sz="8" w:space="0" w:color="000000"/>
            </w:tcBorders>
            <w:tcMar>
              <w:top w:w="20" w:type="dxa"/>
              <w:left w:w="80" w:type="dxa"/>
              <w:bottom w:w="100" w:type="dxa"/>
              <w:right w:w="80" w:type="dxa"/>
            </w:tcMar>
          </w:tcPr>
          <w:p w14:paraId="5EF9EA95" w14:textId="4044C3E1" w:rsidR="00281246" w:rsidRPr="00E94510" w:rsidRDefault="00CD08F1">
            <w:pPr>
              <w:widowControl w:val="0"/>
              <w:spacing w:before="240" w:after="240"/>
              <w:jc w:val="center"/>
              <w:rPr>
                <w:b/>
                <w:i/>
                <w:color w:val="FFFFFF"/>
                <w:lang w:val="en-GB"/>
              </w:rPr>
            </w:pPr>
            <w:r>
              <w:rPr>
                <w:b/>
                <w:i/>
                <w:color w:val="FFFFFF"/>
                <w:lang w:val="en-GB"/>
              </w:rPr>
              <w:t>X</w:t>
            </w:r>
          </w:p>
        </w:tc>
        <w:tc>
          <w:tcPr>
            <w:tcW w:w="1500" w:type="dxa"/>
            <w:tcBorders>
              <w:top w:val="nil"/>
              <w:left w:val="nil"/>
              <w:bottom w:val="single" w:sz="8" w:space="0" w:color="000000"/>
              <w:right w:val="single" w:sz="8" w:space="0" w:color="000000"/>
            </w:tcBorders>
            <w:tcMar>
              <w:top w:w="20" w:type="dxa"/>
              <w:left w:w="80" w:type="dxa"/>
              <w:bottom w:w="100" w:type="dxa"/>
              <w:right w:w="80" w:type="dxa"/>
            </w:tcMar>
          </w:tcPr>
          <w:p w14:paraId="34A944CD"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515" w:type="dxa"/>
            <w:tcBorders>
              <w:top w:val="nil"/>
              <w:left w:val="nil"/>
              <w:bottom w:val="single" w:sz="8" w:space="0" w:color="000000"/>
              <w:right w:val="single" w:sz="8" w:space="0" w:color="000000"/>
            </w:tcBorders>
            <w:tcMar>
              <w:top w:w="20" w:type="dxa"/>
              <w:left w:w="80" w:type="dxa"/>
              <w:bottom w:w="100" w:type="dxa"/>
              <w:right w:w="80" w:type="dxa"/>
            </w:tcMar>
          </w:tcPr>
          <w:p w14:paraId="5CC12AD0"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r>
      <w:tr w:rsidR="00281246" w:rsidRPr="00E94510" w14:paraId="59BC8792" w14:textId="77777777">
        <w:trPr>
          <w:trHeight w:val="385"/>
        </w:trPr>
        <w:tc>
          <w:tcPr>
            <w:tcW w:w="1470" w:type="dxa"/>
            <w:tcBorders>
              <w:top w:val="nil"/>
              <w:left w:val="single" w:sz="8" w:space="0" w:color="000000"/>
              <w:bottom w:val="single" w:sz="8" w:space="0" w:color="000000"/>
              <w:right w:val="single" w:sz="8" w:space="0" w:color="000000"/>
            </w:tcBorders>
            <w:tcMar>
              <w:top w:w="20" w:type="dxa"/>
              <w:left w:w="80" w:type="dxa"/>
              <w:bottom w:w="100" w:type="dxa"/>
              <w:right w:w="80" w:type="dxa"/>
            </w:tcMar>
          </w:tcPr>
          <w:p w14:paraId="493C03D0" w14:textId="77777777" w:rsidR="00281246" w:rsidRPr="00E94510" w:rsidRDefault="00743AC7">
            <w:pPr>
              <w:widowControl w:val="0"/>
              <w:spacing w:before="240" w:after="240"/>
              <w:rPr>
                <w:b/>
                <w:i/>
                <w:color w:val="FFFFFF"/>
                <w:lang w:val="en-GB"/>
              </w:rPr>
            </w:pPr>
            <w:r w:rsidRPr="00E94510">
              <w:rPr>
                <w:b/>
                <w:i/>
                <w:color w:val="FFFFFF"/>
                <w:lang w:val="en-GB"/>
              </w:rPr>
              <w:lastRenderedPageBreak/>
              <w:t>Japan</w:t>
            </w:r>
          </w:p>
        </w:tc>
        <w:tc>
          <w:tcPr>
            <w:tcW w:w="1125" w:type="dxa"/>
            <w:tcBorders>
              <w:top w:val="nil"/>
              <w:left w:val="nil"/>
              <w:bottom w:val="single" w:sz="8" w:space="0" w:color="000000"/>
              <w:right w:val="single" w:sz="8" w:space="0" w:color="000000"/>
            </w:tcBorders>
            <w:tcMar>
              <w:top w:w="20" w:type="dxa"/>
              <w:left w:w="80" w:type="dxa"/>
              <w:bottom w:w="100" w:type="dxa"/>
              <w:right w:w="80" w:type="dxa"/>
            </w:tcMar>
          </w:tcPr>
          <w:p w14:paraId="1E6B20E6"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755" w:type="dxa"/>
            <w:tcBorders>
              <w:top w:val="nil"/>
              <w:left w:val="nil"/>
              <w:bottom w:val="single" w:sz="8" w:space="0" w:color="000000"/>
              <w:right w:val="single" w:sz="8" w:space="0" w:color="000000"/>
            </w:tcBorders>
            <w:tcMar>
              <w:top w:w="20" w:type="dxa"/>
              <w:left w:w="80" w:type="dxa"/>
              <w:bottom w:w="100" w:type="dxa"/>
              <w:right w:w="80" w:type="dxa"/>
            </w:tcMar>
          </w:tcPr>
          <w:p w14:paraId="0ED9E555"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545" w:type="dxa"/>
            <w:tcBorders>
              <w:top w:val="nil"/>
              <w:left w:val="nil"/>
              <w:bottom w:val="single" w:sz="8" w:space="0" w:color="000000"/>
              <w:right w:val="single" w:sz="8" w:space="0" w:color="000000"/>
            </w:tcBorders>
            <w:tcMar>
              <w:top w:w="20" w:type="dxa"/>
              <w:left w:w="80" w:type="dxa"/>
              <w:bottom w:w="100" w:type="dxa"/>
              <w:right w:w="80" w:type="dxa"/>
            </w:tcMar>
          </w:tcPr>
          <w:p w14:paraId="583FB62F"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230" w:type="dxa"/>
            <w:tcBorders>
              <w:top w:val="nil"/>
              <w:left w:val="nil"/>
              <w:bottom w:val="single" w:sz="8" w:space="0" w:color="000000"/>
              <w:right w:val="single" w:sz="8" w:space="0" w:color="000000"/>
            </w:tcBorders>
            <w:tcMar>
              <w:top w:w="20" w:type="dxa"/>
              <w:left w:w="80" w:type="dxa"/>
              <w:bottom w:w="100" w:type="dxa"/>
              <w:right w:w="80" w:type="dxa"/>
            </w:tcMar>
          </w:tcPr>
          <w:p w14:paraId="1F3D0DC8"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500" w:type="dxa"/>
            <w:tcBorders>
              <w:top w:val="nil"/>
              <w:left w:val="nil"/>
              <w:bottom w:val="single" w:sz="8" w:space="0" w:color="000000"/>
              <w:right w:val="single" w:sz="8" w:space="0" w:color="000000"/>
            </w:tcBorders>
            <w:tcMar>
              <w:top w:w="20" w:type="dxa"/>
              <w:left w:w="80" w:type="dxa"/>
              <w:bottom w:w="100" w:type="dxa"/>
              <w:right w:w="80" w:type="dxa"/>
            </w:tcMar>
          </w:tcPr>
          <w:p w14:paraId="044669EE"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515" w:type="dxa"/>
            <w:tcBorders>
              <w:top w:val="nil"/>
              <w:left w:val="nil"/>
              <w:bottom w:val="single" w:sz="8" w:space="0" w:color="000000"/>
              <w:right w:val="single" w:sz="8" w:space="0" w:color="000000"/>
            </w:tcBorders>
            <w:tcMar>
              <w:top w:w="20" w:type="dxa"/>
              <w:left w:w="80" w:type="dxa"/>
              <w:bottom w:w="100" w:type="dxa"/>
              <w:right w:w="80" w:type="dxa"/>
            </w:tcMar>
          </w:tcPr>
          <w:p w14:paraId="1C5A92C0"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r>
      <w:tr w:rsidR="00281246" w:rsidRPr="00E94510" w14:paraId="27164B1E" w14:textId="77777777">
        <w:trPr>
          <w:trHeight w:val="385"/>
        </w:trPr>
        <w:tc>
          <w:tcPr>
            <w:tcW w:w="1470" w:type="dxa"/>
            <w:tcBorders>
              <w:top w:val="nil"/>
              <w:left w:val="single" w:sz="8" w:space="0" w:color="000000"/>
              <w:bottom w:val="single" w:sz="8" w:space="0" w:color="000000"/>
              <w:right w:val="single" w:sz="8" w:space="0" w:color="000000"/>
            </w:tcBorders>
            <w:tcMar>
              <w:top w:w="20" w:type="dxa"/>
              <w:left w:w="80" w:type="dxa"/>
              <w:bottom w:w="100" w:type="dxa"/>
              <w:right w:w="80" w:type="dxa"/>
            </w:tcMar>
          </w:tcPr>
          <w:p w14:paraId="30A9D23E" w14:textId="77777777" w:rsidR="00281246" w:rsidRPr="00E94510" w:rsidRDefault="00743AC7">
            <w:pPr>
              <w:widowControl w:val="0"/>
              <w:spacing w:before="240" w:after="240"/>
              <w:rPr>
                <w:b/>
                <w:i/>
                <w:color w:val="FFFFFF"/>
                <w:lang w:val="en-GB"/>
              </w:rPr>
            </w:pPr>
            <w:r w:rsidRPr="00E94510">
              <w:rPr>
                <w:b/>
                <w:i/>
                <w:color w:val="FFFFFF"/>
                <w:lang w:val="en-GB"/>
              </w:rPr>
              <w:t>Philippines</w:t>
            </w:r>
          </w:p>
        </w:tc>
        <w:tc>
          <w:tcPr>
            <w:tcW w:w="1125" w:type="dxa"/>
            <w:tcBorders>
              <w:top w:val="nil"/>
              <w:left w:val="nil"/>
              <w:bottom w:val="single" w:sz="8" w:space="0" w:color="000000"/>
              <w:right w:val="single" w:sz="8" w:space="0" w:color="000000"/>
            </w:tcBorders>
            <w:tcMar>
              <w:top w:w="20" w:type="dxa"/>
              <w:left w:w="80" w:type="dxa"/>
              <w:bottom w:w="100" w:type="dxa"/>
              <w:right w:w="80" w:type="dxa"/>
            </w:tcMar>
          </w:tcPr>
          <w:p w14:paraId="7DF36511"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755" w:type="dxa"/>
            <w:tcBorders>
              <w:top w:val="nil"/>
              <w:left w:val="nil"/>
              <w:bottom w:val="single" w:sz="8" w:space="0" w:color="000000"/>
              <w:right w:val="single" w:sz="8" w:space="0" w:color="000000"/>
            </w:tcBorders>
            <w:tcMar>
              <w:top w:w="20" w:type="dxa"/>
              <w:left w:w="80" w:type="dxa"/>
              <w:bottom w:w="100" w:type="dxa"/>
              <w:right w:w="80" w:type="dxa"/>
            </w:tcMar>
          </w:tcPr>
          <w:p w14:paraId="7D79477D"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545" w:type="dxa"/>
            <w:tcBorders>
              <w:top w:val="nil"/>
              <w:left w:val="nil"/>
              <w:bottom w:val="single" w:sz="8" w:space="0" w:color="000000"/>
              <w:right w:val="single" w:sz="8" w:space="0" w:color="000000"/>
            </w:tcBorders>
            <w:tcMar>
              <w:top w:w="20" w:type="dxa"/>
              <w:left w:w="80" w:type="dxa"/>
              <w:bottom w:w="100" w:type="dxa"/>
              <w:right w:w="80" w:type="dxa"/>
            </w:tcMar>
          </w:tcPr>
          <w:p w14:paraId="30B8929A"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230" w:type="dxa"/>
            <w:tcBorders>
              <w:top w:val="nil"/>
              <w:left w:val="nil"/>
              <w:bottom w:val="single" w:sz="8" w:space="0" w:color="000000"/>
              <w:right w:val="single" w:sz="8" w:space="0" w:color="000000"/>
            </w:tcBorders>
            <w:tcMar>
              <w:top w:w="20" w:type="dxa"/>
              <w:left w:w="80" w:type="dxa"/>
              <w:bottom w:w="100" w:type="dxa"/>
              <w:right w:w="80" w:type="dxa"/>
            </w:tcMar>
          </w:tcPr>
          <w:p w14:paraId="33DCF217"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500" w:type="dxa"/>
            <w:tcBorders>
              <w:top w:val="nil"/>
              <w:left w:val="nil"/>
              <w:bottom w:val="single" w:sz="8" w:space="0" w:color="000000"/>
              <w:right w:val="single" w:sz="8" w:space="0" w:color="000000"/>
            </w:tcBorders>
            <w:tcMar>
              <w:top w:w="20" w:type="dxa"/>
              <w:left w:w="80" w:type="dxa"/>
              <w:bottom w:w="100" w:type="dxa"/>
              <w:right w:w="80" w:type="dxa"/>
            </w:tcMar>
          </w:tcPr>
          <w:p w14:paraId="3E403585"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515" w:type="dxa"/>
            <w:tcBorders>
              <w:top w:val="nil"/>
              <w:left w:val="nil"/>
              <w:bottom w:val="single" w:sz="8" w:space="0" w:color="000000"/>
              <w:right w:val="single" w:sz="8" w:space="0" w:color="000000"/>
            </w:tcBorders>
            <w:tcMar>
              <w:top w:w="20" w:type="dxa"/>
              <w:left w:w="80" w:type="dxa"/>
              <w:bottom w:w="100" w:type="dxa"/>
              <w:right w:w="80" w:type="dxa"/>
            </w:tcMar>
          </w:tcPr>
          <w:p w14:paraId="40520F00"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r>
      <w:tr w:rsidR="00281246" w:rsidRPr="00E94510" w14:paraId="634CDA4A" w14:textId="77777777">
        <w:trPr>
          <w:trHeight w:val="385"/>
        </w:trPr>
        <w:tc>
          <w:tcPr>
            <w:tcW w:w="1470" w:type="dxa"/>
            <w:tcBorders>
              <w:top w:val="nil"/>
              <w:left w:val="single" w:sz="8" w:space="0" w:color="000000"/>
              <w:bottom w:val="single" w:sz="8" w:space="0" w:color="000000"/>
              <w:right w:val="single" w:sz="8" w:space="0" w:color="000000"/>
            </w:tcBorders>
            <w:tcMar>
              <w:top w:w="20" w:type="dxa"/>
              <w:left w:w="80" w:type="dxa"/>
              <w:bottom w:w="100" w:type="dxa"/>
              <w:right w:w="80" w:type="dxa"/>
            </w:tcMar>
          </w:tcPr>
          <w:p w14:paraId="1D4C88C1" w14:textId="152B8D82" w:rsidR="00281246" w:rsidRPr="00E94510" w:rsidRDefault="00743AC7">
            <w:pPr>
              <w:widowControl w:val="0"/>
              <w:spacing w:before="240" w:after="240"/>
              <w:rPr>
                <w:b/>
                <w:i/>
                <w:color w:val="FFFFFF"/>
                <w:lang w:val="en-GB"/>
              </w:rPr>
            </w:pPr>
            <w:r w:rsidRPr="00E94510">
              <w:rPr>
                <w:b/>
                <w:i/>
                <w:color w:val="FFFFFF"/>
                <w:lang w:val="en-GB"/>
              </w:rPr>
              <w:t>Per</w:t>
            </w:r>
            <w:r w:rsidR="00CD08F1">
              <w:rPr>
                <w:b/>
                <w:i/>
                <w:color w:val="FFFFFF"/>
                <w:lang w:val="en-GB"/>
              </w:rPr>
              <w:t>u</w:t>
            </w:r>
          </w:p>
        </w:tc>
        <w:tc>
          <w:tcPr>
            <w:tcW w:w="1125" w:type="dxa"/>
            <w:tcBorders>
              <w:top w:val="nil"/>
              <w:left w:val="nil"/>
              <w:bottom w:val="single" w:sz="8" w:space="0" w:color="000000"/>
              <w:right w:val="single" w:sz="8" w:space="0" w:color="000000"/>
            </w:tcBorders>
            <w:tcMar>
              <w:top w:w="20" w:type="dxa"/>
              <w:left w:w="80" w:type="dxa"/>
              <w:bottom w:w="100" w:type="dxa"/>
              <w:right w:w="80" w:type="dxa"/>
            </w:tcMar>
          </w:tcPr>
          <w:p w14:paraId="1C271933" w14:textId="77777777" w:rsidR="00281246" w:rsidRPr="00E94510" w:rsidRDefault="00743AC7">
            <w:pPr>
              <w:widowControl w:val="0"/>
              <w:spacing w:before="240" w:after="240"/>
              <w:jc w:val="center"/>
              <w:rPr>
                <w:b/>
                <w:i/>
                <w:color w:val="FFFFFF"/>
                <w:lang w:val="en-GB"/>
              </w:rPr>
            </w:pPr>
            <w:r w:rsidRPr="00E94510">
              <w:rPr>
                <w:b/>
                <w:i/>
                <w:color w:val="FFFFFF"/>
                <w:lang w:val="en-GB"/>
              </w:rPr>
              <w:t>-</w:t>
            </w:r>
          </w:p>
        </w:tc>
        <w:tc>
          <w:tcPr>
            <w:tcW w:w="1755" w:type="dxa"/>
            <w:tcBorders>
              <w:top w:val="nil"/>
              <w:left w:val="nil"/>
              <w:bottom w:val="single" w:sz="8" w:space="0" w:color="000000"/>
              <w:right w:val="single" w:sz="8" w:space="0" w:color="000000"/>
            </w:tcBorders>
            <w:tcMar>
              <w:top w:w="20" w:type="dxa"/>
              <w:left w:w="80" w:type="dxa"/>
              <w:bottom w:w="100" w:type="dxa"/>
              <w:right w:w="80" w:type="dxa"/>
            </w:tcMar>
          </w:tcPr>
          <w:p w14:paraId="22FE7F23" w14:textId="77777777" w:rsidR="00281246" w:rsidRPr="00E94510" w:rsidRDefault="00743AC7">
            <w:pPr>
              <w:widowControl w:val="0"/>
              <w:spacing w:before="240" w:after="240"/>
              <w:jc w:val="center"/>
              <w:rPr>
                <w:b/>
                <w:i/>
                <w:color w:val="FFFFFF"/>
                <w:lang w:val="en-GB"/>
              </w:rPr>
            </w:pPr>
            <w:r w:rsidRPr="00E94510">
              <w:rPr>
                <w:b/>
                <w:i/>
                <w:color w:val="FFFFFF"/>
                <w:lang w:val="en-GB"/>
              </w:rPr>
              <w:t>-</w:t>
            </w:r>
          </w:p>
        </w:tc>
        <w:tc>
          <w:tcPr>
            <w:tcW w:w="1545" w:type="dxa"/>
            <w:tcBorders>
              <w:top w:val="nil"/>
              <w:left w:val="nil"/>
              <w:bottom w:val="single" w:sz="8" w:space="0" w:color="000000"/>
              <w:right w:val="single" w:sz="8" w:space="0" w:color="000000"/>
            </w:tcBorders>
            <w:tcMar>
              <w:top w:w="20" w:type="dxa"/>
              <w:left w:w="80" w:type="dxa"/>
              <w:bottom w:w="100" w:type="dxa"/>
              <w:right w:w="80" w:type="dxa"/>
            </w:tcMar>
          </w:tcPr>
          <w:p w14:paraId="186031BE"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230" w:type="dxa"/>
            <w:tcBorders>
              <w:top w:val="nil"/>
              <w:left w:val="nil"/>
              <w:bottom w:val="single" w:sz="8" w:space="0" w:color="000000"/>
              <w:right w:val="single" w:sz="8" w:space="0" w:color="000000"/>
            </w:tcBorders>
            <w:tcMar>
              <w:top w:w="20" w:type="dxa"/>
              <w:left w:w="80" w:type="dxa"/>
              <w:bottom w:w="100" w:type="dxa"/>
              <w:right w:w="80" w:type="dxa"/>
            </w:tcMar>
          </w:tcPr>
          <w:p w14:paraId="3D60F933"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500" w:type="dxa"/>
            <w:tcBorders>
              <w:top w:val="nil"/>
              <w:left w:val="nil"/>
              <w:bottom w:val="single" w:sz="8" w:space="0" w:color="000000"/>
              <w:right w:val="single" w:sz="8" w:space="0" w:color="000000"/>
            </w:tcBorders>
            <w:tcMar>
              <w:top w:w="20" w:type="dxa"/>
              <w:left w:w="80" w:type="dxa"/>
              <w:bottom w:w="100" w:type="dxa"/>
              <w:right w:w="80" w:type="dxa"/>
            </w:tcMar>
          </w:tcPr>
          <w:p w14:paraId="4C44F5B0"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515" w:type="dxa"/>
            <w:tcBorders>
              <w:top w:val="nil"/>
              <w:left w:val="nil"/>
              <w:bottom w:val="single" w:sz="8" w:space="0" w:color="000000"/>
              <w:right w:val="single" w:sz="8" w:space="0" w:color="000000"/>
            </w:tcBorders>
            <w:tcMar>
              <w:top w:w="20" w:type="dxa"/>
              <w:left w:w="80" w:type="dxa"/>
              <w:bottom w:w="100" w:type="dxa"/>
              <w:right w:w="80" w:type="dxa"/>
            </w:tcMar>
          </w:tcPr>
          <w:p w14:paraId="0C924AD1"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r>
      <w:tr w:rsidR="00281246" w:rsidRPr="00E94510" w14:paraId="08F51D96" w14:textId="77777777">
        <w:trPr>
          <w:trHeight w:val="385"/>
        </w:trPr>
        <w:tc>
          <w:tcPr>
            <w:tcW w:w="1470" w:type="dxa"/>
            <w:tcBorders>
              <w:top w:val="nil"/>
              <w:left w:val="single" w:sz="8" w:space="0" w:color="000000"/>
              <w:bottom w:val="single" w:sz="8" w:space="0" w:color="000000"/>
              <w:right w:val="single" w:sz="8" w:space="0" w:color="000000"/>
            </w:tcBorders>
            <w:tcMar>
              <w:top w:w="20" w:type="dxa"/>
              <w:left w:w="80" w:type="dxa"/>
              <w:bottom w:w="100" w:type="dxa"/>
              <w:right w:w="80" w:type="dxa"/>
            </w:tcMar>
          </w:tcPr>
          <w:p w14:paraId="165F22BA" w14:textId="77777777" w:rsidR="00281246" w:rsidRPr="00E94510" w:rsidRDefault="00743AC7">
            <w:pPr>
              <w:widowControl w:val="0"/>
              <w:spacing w:before="240" w:after="240"/>
              <w:rPr>
                <w:b/>
                <w:i/>
                <w:color w:val="FFFFFF"/>
                <w:lang w:val="en-GB"/>
              </w:rPr>
            </w:pPr>
            <w:r w:rsidRPr="00E94510">
              <w:rPr>
                <w:b/>
                <w:i/>
                <w:color w:val="FFFFFF"/>
                <w:lang w:val="en-GB"/>
              </w:rPr>
              <w:t>Bangladesh</w:t>
            </w:r>
          </w:p>
        </w:tc>
        <w:tc>
          <w:tcPr>
            <w:tcW w:w="1125" w:type="dxa"/>
            <w:tcBorders>
              <w:top w:val="nil"/>
              <w:left w:val="nil"/>
              <w:bottom w:val="single" w:sz="8" w:space="0" w:color="000000"/>
              <w:right w:val="single" w:sz="8" w:space="0" w:color="000000"/>
            </w:tcBorders>
            <w:tcMar>
              <w:top w:w="20" w:type="dxa"/>
              <w:left w:w="80" w:type="dxa"/>
              <w:bottom w:w="100" w:type="dxa"/>
              <w:right w:w="80" w:type="dxa"/>
            </w:tcMar>
          </w:tcPr>
          <w:p w14:paraId="5AC3E4E1"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755" w:type="dxa"/>
            <w:tcBorders>
              <w:top w:val="nil"/>
              <w:left w:val="nil"/>
              <w:bottom w:val="single" w:sz="8" w:space="0" w:color="000000"/>
              <w:right w:val="single" w:sz="8" w:space="0" w:color="000000"/>
            </w:tcBorders>
            <w:tcMar>
              <w:top w:w="20" w:type="dxa"/>
              <w:left w:w="80" w:type="dxa"/>
              <w:bottom w:w="100" w:type="dxa"/>
              <w:right w:w="80" w:type="dxa"/>
            </w:tcMar>
          </w:tcPr>
          <w:p w14:paraId="28306521"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545" w:type="dxa"/>
            <w:tcBorders>
              <w:top w:val="nil"/>
              <w:left w:val="nil"/>
              <w:bottom w:val="single" w:sz="8" w:space="0" w:color="000000"/>
              <w:right w:val="single" w:sz="8" w:space="0" w:color="000000"/>
            </w:tcBorders>
            <w:tcMar>
              <w:top w:w="20" w:type="dxa"/>
              <w:left w:w="80" w:type="dxa"/>
              <w:bottom w:w="100" w:type="dxa"/>
              <w:right w:w="80" w:type="dxa"/>
            </w:tcMar>
          </w:tcPr>
          <w:p w14:paraId="63A47136" w14:textId="77777777" w:rsidR="00281246" w:rsidRPr="00E94510" w:rsidRDefault="00743AC7">
            <w:pPr>
              <w:widowControl w:val="0"/>
              <w:spacing w:before="240" w:after="240"/>
              <w:jc w:val="center"/>
              <w:rPr>
                <w:b/>
                <w:i/>
                <w:color w:val="FFFFFF"/>
                <w:lang w:val="en-GB"/>
              </w:rPr>
            </w:pPr>
            <w:r w:rsidRPr="00E94510">
              <w:rPr>
                <w:b/>
                <w:i/>
                <w:color w:val="FFFFFF"/>
                <w:lang w:val="en-GB"/>
              </w:rPr>
              <w:t>-</w:t>
            </w:r>
          </w:p>
        </w:tc>
        <w:tc>
          <w:tcPr>
            <w:tcW w:w="1230" w:type="dxa"/>
            <w:tcBorders>
              <w:top w:val="nil"/>
              <w:left w:val="nil"/>
              <w:bottom w:val="single" w:sz="8" w:space="0" w:color="000000"/>
              <w:right w:val="single" w:sz="8" w:space="0" w:color="000000"/>
            </w:tcBorders>
            <w:tcMar>
              <w:top w:w="20" w:type="dxa"/>
              <w:left w:w="80" w:type="dxa"/>
              <w:bottom w:w="100" w:type="dxa"/>
              <w:right w:w="80" w:type="dxa"/>
            </w:tcMar>
          </w:tcPr>
          <w:p w14:paraId="369816BC"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500" w:type="dxa"/>
            <w:tcBorders>
              <w:top w:val="nil"/>
              <w:left w:val="nil"/>
              <w:bottom w:val="single" w:sz="8" w:space="0" w:color="000000"/>
              <w:right w:val="single" w:sz="8" w:space="0" w:color="000000"/>
            </w:tcBorders>
            <w:tcMar>
              <w:top w:w="20" w:type="dxa"/>
              <w:left w:w="80" w:type="dxa"/>
              <w:bottom w:w="100" w:type="dxa"/>
              <w:right w:w="80" w:type="dxa"/>
            </w:tcMar>
          </w:tcPr>
          <w:p w14:paraId="03ACF647"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515" w:type="dxa"/>
            <w:tcBorders>
              <w:top w:val="nil"/>
              <w:left w:val="nil"/>
              <w:bottom w:val="single" w:sz="8" w:space="0" w:color="000000"/>
              <w:right w:val="single" w:sz="8" w:space="0" w:color="000000"/>
            </w:tcBorders>
            <w:tcMar>
              <w:top w:w="20" w:type="dxa"/>
              <w:left w:w="80" w:type="dxa"/>
              <w:bottom w:w="100" w:type="dxa"/>
              <w:right w:w="80" w:type="dxa"/>
            </w:tcMar>
          </w:tcPr>
          <w:p w14:paraId="1D70BC50"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r>
      <w:tr w:rsidR="00281246" w:rsidRPr="00E94510" w14:paraId="3F39A3CC" w14:textId="77777777">
        <w:trPr>
          <w:trHeight w:val="385"/>
        </w:trPr>
        <w:tc>
          <w:tcPr>
            <w:tcW w:w="1470" w:type="dxa"/>
            <w:tcBorders>
              <w:top w:val="nil"/>
              <w:left w:val="single" w:sz="8" w:space="0" w:color="000000"/>
              <w:bottom w:val="single" w:sz="8" w:space="0" w:color="000000"/>
              <w:right w:val="single" w:sz="8" w:space="0" w:color="000000"/>
            </w:tcBorders>
            <w:tcMar>
              <w:top w:w="20" w:type="dxa"/>
              <w:left w:w="80" w:type="dxa"/>
              <w:bottom w:w="100" w:type="dxa"/>
              <w:right w:w="80" w:type="dxa"/>
            </w:tcMar>
          </w:tcPr>
          <w:p w14:paraId="3E7CB2C6" w14:textId="77777777" w:rsidR="00281246" w:rsidRPr="00E94510" w:rsidRDefault="00743AC7">
            <w:pPr>
              <w:widowControl w:val="0"/>
              <w:spacing w:before="240" w:after="240"/>
              <w:rPr>
                <w:b/>
                <w:i/>
                <w:color w:val="FFFFFF"/>
                <w:lang w:val="en-GB"/>
              </w:rPr>
            </w:pPr>
            <w:r w:rsidRPr="00E94510">
              <w:rPr>
                <w:b/>
                <w:i/>
                <w:color w:val="FFFFFF"/>
                <w:lang w:val="en-GB"/>
              </w:rPr>
              <w:t>Norway</w:t>
            </w:r>
          </w:p>
        </w:tc>
        <w:tc>
          <w:tcPr>
            <w:tcW w:w="1125" w:type="dxa"/>
            <w:tcBorders>
              <w:top w:val="nil"/>
              <w:left w:val="nil"/>
              <w:bottom w:val="single" w:sz="8" w:space="0" w:color="000000"/>
              <w:right w:val="single" w:sz="8" w:space="0" w:color="000000"/>
            </w:tcBorders>
            <w:tcMar>
              <w:top w:w="20" w:type="dxa"/>
              <w:left w:w="80" w:type="dxa"/>
              <w:bottom w:w="100" w:type="dxa"/>
              <w:right w:w="80" w:type="dxa"/>
            </w:tcMar>
          </w:tcPr>
          <w:p w14:paraId="50E32102"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755" w:type="dxa"/>
            <w:tcBorders>
              <w:top w:val="nil"/>
              <w:left w:val="nil"/>
              <w:bottom w:val="single" w:sz="8" w:space="0" w:color="000000"/>
              <w:right w:val="single" w:sz="8" w:space="0" w:color="000000"/>
            </w:tcBorders>
            <w:tcMar>
              <w:top w:w="20" w:type="dxa"/>
              <w:left w:w="80" w:type="dxa"/>
              <w:bottom w:w="100" w:type="dxa"/>
              <w:right w:w="80" w:type="dxa"/>
            </w:tcMar>
          </w:tcPr>
          <w:p w14:paraId="347623B7"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545" w:type="dxa"/>
            <w:tcBorders>
              <w:top w:val="nil"/>
              <w:left w:val="nil"/>
              <w:bottom w:val="single" w:sz="8" w:space="0" w:color="000000"/>
              <w:right w:val="single" w:sz="8" w:space="0" w:color="000000"/>
            </w:tcBorders>
            <w:tcMar>
              <w:top w:w="20" w:type="dxa"/>
              <w:left w:w="80" w:type="dxa"/>
              <w:bottom w:w="100" w:type="dxa"/>
              <w:right w:w="80" w:type="dxa"/>
            </w:tcMar>
          </w:tcPr>
          <w:p w14:paraId="33450317"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230" w:type="dxa"/>
            <w:tcBorders>
              <w:top w:val="nil"/>
              <w:left w:val="nil"/>
              <w:bottom w:val="single" w:sz="8" w:space="0" w:color="000000"/>
              <w:right w:val="single" w:sz="8" w:space="0" w:color="000000"/>
            </w:tcBorders>
            <w:tcMar>
              <w:top w:w="20" w:type="dxa"/>
              <w:left w:w="80" w:type="dxa"/>
              <w:bottom w:w="100" w:type="dxa"/>
              <w:right w:w="80" w:type="dxa"/>
            </w:tcMar>
          </w:tcPr>
          <w:p w14:paraId="79945A80"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500" w:type="dxa"/>
            <w:tcBorders>
              <w:top w:val="nil"/>
              <w:left w:val="nil"/>
              <w:bottom w:val="single" w:sz="8" w:space="0" w:color="000000"/>
              <w:right w:val="single" w:sz="8" w:space="0" w:color="000000"/>
            </w:tcBorders>
            <w:tcMar>
              <w:top w:w="20" w:type="dxa"/>
              <w:left w:w="80" w:type="dxa"/>
              <w:bottom w:w="100" w:type="dxa"/>
              <w:right w:w="80" w:type="dxa"/>
            </w:tcMar>
          </w:tcPr>
          <w:p w14:paraId="4B60D5D6"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515" w:type="dxa"/>
            <w:tcBorders>
              <w:top w:val="nil"/>
              <w:left w:val="nil"/>
              <w:bottom w:val="single" w:sz="8" w:space="0" w:color="000000"/>
              <w:right w:val="single" w:sz="8" w:space="0" w:color="000000"/>
            </w:tcBorders>
            <w:tcMar>
              <w:top w:w="20" w:type="dxa"/>
              <w:left w:w="80" w:type="dxa"/>
              <w:bottom w:w="100" w:type="dxa"/>
              <w:right w:w="80" w:type="dxa"/>
            </w:tcMar>
          </w:tcPr>
          <w:p w14:paraId="5CF85DF7"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r>
      <w:tr w:rsidR="00281246" w:rsidRPr="00E94510" w14:paraId="672C7FB9" w14:textId="77777777">
        <w:trPr>
          <w:trHeight w:val="595"/>
        </w:trPr>
        <w:tc>
          <w:tcPr>
            <w:tcW w:w="1470" w:type="dxa"/>
            <w:tcBorders>
              <w:top w:val="nil"/>
              <w:left w:val="single" w:sz="8" w:space="0" w:color="000000"/>
              <w:bottom w:val="single" w:sz="8" w:space="0" w:color="000000"/>
              <w:right w:val="single" w:sz="8" w:space="0" w:color="000000"/>
            </w:tcBorders>
            <w:tcMar>
              <w:top w:w="20" w:type="dxa"/>
              <w:left w:w="80" w:type="dxa"/>
              <w:bottom w:w="100" w:type="dxa"/>
              <w:right w:w="80" w:type="dxa"/>
            </w:tcMar>
          </w:tcPr>
          <w:p w14:paraId="214DA580" w14:textId="77777777" w:rsidR="00281246" w:rsidRPr="00E94510" w:rsidRDefault="00743AC7">
            <w:pPr>
              <w:widowControl w:val="0"/>
              <w:spacing w:before="240" w:after="240"/>
              <w:rPr>
                <w:b/>
                <w:i/>
                <w:color w:val="FFFFFF"/>
                <w:lang w:val="en-GB"/>
              </w:rPr>
            </w:pPr>
            <w:r w:rsidRPr="00E94510">
              <w:rPr>
                <w:b/>
                <w:i/>
                <w:color w:val="FFFFFF"/>
                <w:lang w:val="en-GB"/>
              </w:rPr>
              <w:t>Republic of Korea</w:t>
            </w:r>
          </w:p>
        </w:tc>
        <w:tc>
          <w:tcPr>
            <w:tcW w:w="1125" w:type="dxa"/>
            <w:tcBorders>
              <w:top w:val="nil"/>
              <w:left w:val="nil"/>
              <w:bottom w:val="single" w:sz="8" w:space="0" w:color="000000"/>
              <w:right w:val="single" w:sz="8" w:space="0" w:color="000000"/>
            </w:tcBorders>
            <w:tcMar>
              <w:top w:w="20" w:type="dxa"/>
              <w:left w:w="80" w:type="dxa"/>
              <w:bottom w:w="100" w:type="dxa"/>
              <w:right w:w="80" w:type="dxa"/>
            </w:tcMar>
          </w:tcPr>
          <w:p w14:paraId="3AD2D18E"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755" w:type="dxa"/>
            <w:tcBorders>
              <w:top w:val="nil"/>
              <w:left w:val="nil"/>
              <w:bottom w:val="single" w:sz="8" w:space="0" w:color="000000"/>
              <w:right w:val="single" w:sz="8" w:space="0" w:color="000000"/>
            </w:tcBorders>
            <w:tcMar>
              <w:top w:w="20" w:type="dxa"/>
              <w:left w:w="80" w:type="dxa"/>
              <w:bottom w:w="100" w:type="dxa"/>
              <w:right w:w="80" w:type="dxa"/>
            </w:tcMar>
          </w:tcPr>
          <w:p w14:paraId="44BDF4F3"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545" w:type="dxa"/>
            <w:tcBorders>
              <w:top w:val="nil"/>
              <w:left w:val="nil"/>
              <w:bottom w:val="single" w:sz="8" w:space="0" w:color="000000"/>
              <w:right w:val="single" w:sz="8" w:space="0" w:color="000000"/>
            </w:tcBorders>
            <w:tcMar>
              <w:top w:w="20" w:type="dxa"/>
              <w:left w:w="80" w:type="dxa"/>
              <w:bottom w:w="100" w:type="dxa"/>
              <w:right w:w="80" w:type="dxa"/>
            </w:tcMar>
          </w:tcPr>
          <w:p w14:paraId="466AE93D"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230" w:type="dxa"/>
            <w:tcBorders>
              <w:top w:val="nil"/>
              <w:left w:val="nil"/>
              <w:bottom w:val="single" w:sz="8" w:space="0" w:color="000000"/>
              <w:right w:val="single" w:sz="8" w:space="0" w:color="000000"/>
            </w:tcBorders>
            <w:tcMar>
              <w:top w:w="20" w:type="dxa"/>
              <w:left w:w="80" w:type="dxa"/>
              <w:bottom w:w="100" w:type="dxa"/>
              <w:right w:w="80" w:type="dxa"/>
            </w:tcMar>
          </w:tcPr>
          <w:p w14:paraId="0E82B6A2"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500" w:type="dxa"/>
            <w:tcBorders>
              <w:top w:val="nil"/>
              <w:left w:val="nil"/>
              <w:bottom w:val="single" w:sz="8" w:space="0" w:color="000000"/>
              <w:right w:val="single" w:sz="8" w:space="0" w:color="000000"/>
            </w:tcBorders>
            <w:tcMar>
              <w:top w:w="20" w:type="dxa"/>
              <w:left w:w="80" w:type="dxa"/>
              <w:bottom w:w="100" w:type="dxa"/>
              <w:right w:w="80" w:type="dxa"/>
            </w:tcMar>
          </w:tcPr>
          <w:p w14:paraId="47A526CA"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515" w:type="dxa"/>
            <w:tcBorders>
              <w:top w:val="nil"/>
              <w:left w:val="nil"/>
              <w:bottom w:val="single" w:sz="8" w:space="0" w:color="000000"/>
              <w:right w:val="single" w:sz="8" w:space="0" w:color="000000"/>
            </w:tcBorders>
            <w:tcMar>
              <w:top w:w="20" w:type="dxa"/>
              <w:left w:w="80" w:type="dxa"/>
              <w:bottom w:w="100" w:type="dxa"/>
              <w:right w:w="80" w:type="dxa"/>
            </w:tcMar>
          </w:tcPr>
          <w:p w14:paraId="25CDE73B"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r>
      <w:tr w:rsidR="00281246" w:rsidRPr="00E94510" w14:paraId="01081B7B" w14:textId="77777777">
        <w:trPr>
          <w:trHeight w:val="385"/>
        </w:trPr>
        <w:tc>
          <w:tcPr>
            <w:tcW w:w="1470" w:type="dxa"/>
            <w:tcBorders>
              <w:top w:val="nil"/>
              <w:left w:val="single" w:sz="8" w:space="0" w:color="000000"/>
              <w:bottom w:val="single" w:sz="8" w:space="0" w:color="000000"/>
              <w:right w:val="single" w:sz="8" w:space="0" w:color="000000"/>
            </w:tcBorders>
            <w:tcMar>
              <w:top w:w="20" w:type="dxa"/>
              <w:left w:w="80" w:type="dxa"/>
              <w:bottom w:w="100" w:type="dxa"/>
              <w:right w:w="80" w:type="dxa"/>
            </w:tcMar>
          </w:tcPr>
          <w:p w14:paraId="312CCC60" w14:textId="77777777" w:rsidR="00281246" w:rsidRPr="00E94510" w:rsidRDefault="00743AC7">
            <w:pPr>
              <w:widowControl w:val="0"/>
              <w:spacing w:before="240" w:after="240"/>
              <w:rPr>
                <w:b/>
                <w:i/>
                <w:color w:val="FFFFFF"/>
                <w:lang w:val="en-GB"/>
              </w:rPr>
            </w:pPr>
            <w:r w:rsidRPr="00E94510">
              <w:rPr>
                <w:b/>
                <w:i/>
                <w:color w:val="FFFFFF"/>
                <w:lang w:val="en-GB"/>
              </w:rPr>
              <w:t>Myanmar</w:t>
            </w:r>
          </w:p>
        </w:tc>
        <w:tc>
          <w:tcPr>
            <w:tcW w:w="1125" w:type="dxa"/>
            <w:tcBorders>
              <w:top w:val="nil"/>
              <w:left w:val="nil"/>
              <w:bottom w:val="single" w:sz="8" w:space="0" w:color="000000"/>
              <w:right w:val="single" w:sz="8" w:space="0" w:color="000000"/>
            </w:tcBorders>
            <w:tcMar>
              <w:top w:w="20" w:type="dxa"/>
              <w:left w:w="80" w:type="dxa"/>
              <w:bottom w:w="100" w:type="dxa"/>
              <w:right w:w="80" w:type="dxa"/>
            </w:tcMar>
          </w:tcPr>
          <w:p w14:paraId="1EA9557F"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755" w:type="dxa"/>
            <w:tcBorders>
              <w:top w:val="nil"/>
              <w:left w:val="nil"/>
              <w:bottom w:val="single" w:sz="8" w:space="0" w:color="000000"/>
              <w:right w:val="single" w:sz="8" w:space="0" w:color="000000"/>
            </w:tcBorders>
            <w:tcMar>
              <w:top w:w="20" w:type="dxa"/>
              <w:left w:w="80" w:type="dxa"/>
              <w:bottom w:w="100" w:type="dxa"/>
              <w:right w:w="80" w:type="dxa"/>
            </w:tcMar>
          </w:tcPr>
          <w:p w14:paraId="61419BB6" w14:textId="77777777" w:rsidR="00281246" w:rsidRPr="00E94510" w:rsidRDefault="00743AC7">
            <w:pPr>
              <w:widowControl w:val="0"/>
              <w:spacing w:before="240" w:after="240"/>
              <w:jc w:val="center"/>
              <w:rPr>
                <w:b/>
                <w:i/>
                <w:color w:val="FFFFFF"/>
                <w:lang w:val="en-GB"/>
              </w:rPr>
            </w:pPr>
            <w:r w:rsidRPr="00E94510">
              <w:rPr>
                <w:b/>
                <w:i/>
                <w:color w:val="FFFFFF"/>
                <w:lang w:val="en-GB"/>
              </w:rPr>
              <w:t>-</w:t>
            </w:r>
          </w:p>
        </w:tc>
        <w:tc>
          <w:tcPr>
            <w:tcW w:w="1545" w:type="dxa"/>
            <w:tcBorders>
              <w:top w:val="nil"/>
              <w:left w:val="nil"/>
              <w:bottom w:val="single" w:sz="8" w:space="0" w:color="000000"/>
              <w:right w:val="single" w:sz="8" w:space="0" w:color="000000"/>
            </w:tcBorders>
            <w:tcMar>
              <w:top w:w="20" w:type="dxa"/>
              <w:left w:w="80" w:type="dxa"/>
              <w:bottom w:w="100" w:type="dxa"/>
              <w:right w:w="80" w:type="dxa"/>
            </w:tcMar>
          </w:tcPr>
          <w:p w14:paraId="2CFF8643"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230" w:type="dxa"/>
            <w:tcBorders>
              <w:top w:val="nil"/>
              <w:left w:val="nil"/>
              <w:bottom w:val="single" w:sz="8" w:space="0" w:color="000000"/>
              <w:right w:val="single" w:sz="8" w:space="0" w:color="000000"/>
            </w:tcBorders>
            <w:tcMar>
              <w:top w:w="20" w:type="dxa"/>
              <w:left w:w="80" w:type="dxa"/>
              <w:bottom w:w="100" w:type="dxa"/>
              <w:right w:w="80" w:type="dxa"/>
            </w:tcMar>
          </w:tcPr>
          <w:p w14:paraId="61CE7674"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500" w:type="dxa"/>
            <w:tcBorders>
              <w:top w:val="nil"/>
              <w:left w:val="nil"/>
              <w:bottom w:val="single" w:sz="8" w:space="0" w:color="000000"/>
              <w:right w:val="single" w:sz="8" w:space="0" w:color="000000"/>
            </w:tcBorders>
            <w:tcMar>
              <w:top w:w="20" w:type="dxa"/>
              <w:left w:w="80" w:type="dxa"/>
              <w:bottom w:w="100" w:type="dxa"/>
              <w:right w:w="80" w:type="dxa"/>
            </w:tcMar>
          </w:tcPr>
          <w:p w14:paraId="48A3303C"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515" w:type="dxa"/>
            <w:tcBorders>
              <w:top w:val="nil"/>
              <w:left w:val="nil"/>
              <w:bottom w:val="single" w:sz="8" w:space="0" w:color="000000"/>
              <w:right w:val="single" w:sz="8" w:space="0" w:color="000000"/>
            </w:tcBorders>
            <w:tcMar>
              <w:top w:w="20" w:type="dxa"/>
              <w:left w:w="80" w:type="dxa"/>
              <w:bottom w:w="100" w:type="dxa"/>
              <w:right w:w="80" w:type="dxa"/>
            </w:tcMar>
          </w:tcPr>
          <w:p w14:paraId="377E3D72"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r>
      <w:tr w:rsidR="00281246" w:rsidRPr="00E94510" w14:paraId="69FB9AE5" w14:textId="77777777">
        <w:trPr>
          <w:trHeight w:val="385"/>
        </w:trPr>
        <w:tc>
          <w:tcPr>
            <w:tcW w:w="1470" w:type="dxa"/>
            <w:tcBorders>
              <w:top w:val="nil"/>
              <w:left w:val="single" w:sz="8" w:space="0" w:color="000000"/>
              <w:bottom w:val="single" w:sz="8" w:space="0" w:color="000000"/>
              <w:right w:val="single" w:sz="8" w:space="0" w:color="000000"/>
            </w:tcBorders>
            <w:tcMar>
              <w:top w:w="20" w:type="dxa"/>
              <w:left w:w="80" w:type="dxa"/>
              <w:bottom w:w="100" w:type="dxa"/>
              <w:right w:w="80" w:type="dxa"/>
            </w:tcMar>
          </w:tcPr>
          <w:p w14:paraId="2F12E1BA" w14:textId="77777777" w:rsidR="00281246" w:rsidRPr="00E94510" w:rsidRDefault="00743AC7">
            <w:pPr>
              <w:widowControl w:val="0"/>
              <w:spacing w:before="240" w:after="240"/>
              <w:rPr>
                <w:b/>
                <w:i/>
                <w:color w:val="FFFFFF"/>
                <w:lang w:val="en-GB"/>
              </w:rPr>
            </w:pPr>
            <w:r w:rsidRPr="00E94510">
              <w:rPr>
                <w:b/>
                <w:i/>
                <w:color w:val="FFFFFF"/>
                <w:lang w:val="en-GB"/>
              </w:rPr>
              <w:t>Chile</w:t>
            </w:r>
          </w:p>
        </w:tc>
        <w:tc>
          <w:tcPr>
            <w:tcW w:w="1125" w:type="dxa"/>
            <w:tcBorders>
              <w:top w:val="nil"/>
              <w:left w:val="nil"/>
              <w:bottom w:val="single" w:sz="8" w:space="0" w:color="000000"/>
              <w:right w:val="single" w:sz="8" w:space="0" w:color="000000"/>
            </w:tcBorders>
            <w:tcMar>
              <w:top w:w="20" w:type="dxa"/>
              <w:left w:w="80" w:type="dxa"/>
              <w:bottom w:w="100" w:type="dxa"/>
              <w:right w:w="80" w:type="dxa"/>
            </w:tcMar>
          </w:tcPr>
          <w:p w14:paraId="026A5E36"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755" w:type="dxa"/>
            <w:tcBorders>
              <w:top w:val="nil"/>
              <w:left w:val="nil"/>
              <w:bottom w:val="single" w:sz="8" w:space="0" w:color="000000"/>
              <w:right w:val="single" w:sz="8" w:space="0" w:color="000000"/>
            </w:tcBorders>
            <w:tcMar>
              <w:top w:w="20" w:type="dxa"/>
              <w:left w:w="80" w:type="dxa"/>
              <w:bottom w:w="100" w:type="dxa"/>
              <w:right w:w="80" w:type="dxa"/>
            </w:tcMar>
          </w:tcPr>
          <w:p w14:paraId="45AD0117"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545" w:type="dxa"/>
            <w:tcBorders>
              <w:top w:val="nil"/>
              <w:left w:val="nil"/>
              <w:bottom w:val="single" w:sz="8" w:space="0" w:color="000000"/>
              <w:right w:val="single" w:sz="8" w:space="0" w:color="000000"/>
            </w:tcBorders>
            <w:tcMar>
              <w:top w:w="20" w:type="dxa"/>
              <w:left w:w="80" w:type="dxa"/>
              <w:bottom w:w="100" w:type="dxa"/>
              <w:right w:w="80" w:type="dxa"/>
            </w:tcMar>
          </w:tcPr>
          <w:p w14:paraId="190FABC9"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230" w:type="dxa"/>
            <w:tcBorders>
              <w:top w:val="nil"/>
              <w:left w:val="nil"/>
              <w:bottom w:val="single" w:sz="8" w:space="0" w:color="000000"/>
              <w:right w:val="single" w:sz="8" w:space="0" w:color="000000"/>
            </w:tcBorders>
            <w:tcMar>
              <w:top w:w="20" w:type="dxa"/>
              <w:left w:w="80" w:type="dxa"/>
              <w:bottom w:w="100" w:type="dxa"/>
              <w:right w:w="80" w:type="dxa"/>
            </w:tcMar>
          </w:tcPr>
          <w:p w14:paraId="093DF758"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500" w:type="dxa"/>
            <w:tcBorders>
              <w:top w:val="nil"/>
              <w:left w:val="nil"/>
              <w:bottom w:val="single" w:sz="8" w:space="0" w:color="000000"/>
              <w:right w:val="single" w:sz="8" w:space="0" w:color="000000"/>
            </w:tcBorders>
            <w:tcMar>
              <w:top w:w="20" w:type="dxa"/>
              <w:left w:w="80" w:type="dxa"/>
              <w:bottom w:w="100" w:type="dxa"/>
              <w:right w:w="80" w:type="dxa"/>
            </w:tcMar>
          </w:tcPr>
          <w:p w14:paraId="29469CB9"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c>
          <w:tcPr>
            <w:tcW w:w="1515" w:type="dxa"/>
            <w:tcBorders>
              <w:top w:val="nil"/>
              <w:left w:val="nil"/>
              <w:bottom w:val="single" w:sz="8" w:space="0" w:color="000000"/>
              <w:right w:val="single" w:sz="8" w:space="0" w:color="000000"/>
            </w:tcBorders>
            <w:tcMar>
              <w:top w:w="20" w:type="dxa"/>
              <w:left w:w="80" w:type="dxa"/>
              <w:bottom w:w="100" w:type="dxa"/>
              <w:right w:w="80" w:type="dxa"/>
            </w:tcMar>
          </w:tcPr>
          <w:p w14:paraId="14F73010" w14:textId="77777777" w:rsidR="00281246" w:rsidRPr="00E94510" w:rsidRDefault="00743AC7">
            <w:pPr>
              <w:widowControl w:val="0"/>
              <w:spacing w:before="240" w:after="240"/>
              <w:jc w:val="center"/>
              <w:rPr>
                <w:b/>
                <w:i/>
                <w:color w:val="FFFFFF"/>
                <w:lang w:val="en-GB"/>
              </w:rPr>
            </w:pPr>
            <w:r w:rsidRPr="00E94510">
              <w:rPr>
                <w:b/>
                <w:i/>
                <w:color w:val="FFFFFF"/>
                <w:lang w:val="en-GB"/>
              </w:rPr>
              <w:t>X</w:t>
            </w:r>
          </w:p>
        </w:tc>
      </w:tr>
      <w:tr w:rsidR="00851B06" w:rsidRPr="00E94510" w14:paraId="7010098D" w14:textId="77777777">
        <w:trPr>
          <w:trHeight w:val="385"/>
        </w:trPr>
        <w:tc>
          <w:tcPr>
            <w:tcW w:w="1470" w:type="dxa"/>
            <w:tcBorders>
              <w:top w:val="nil"/>
              <w:left w:val="single" w:sz="8" w:space="0" w:color="000000"/>
              <w:bottom w:val="single" w:sz="8" w:space="0" w:color="000000"/>
              <w:right w:val="single" w:sz="8" w:space="0" w:color="000000"/>
            </w:tcBorders>
            <w:tcMar>
              <w:top w:w="20" w:type="dxa"/>
              <w:left w:w="80" w:type="dxa"/>
              <w:bottom w:w="100" w:type="dxa"/>
              <w:right w:w="80" w:type="dxa"/>
            </w:tcMar>
          </w:tcPr>
          <w:p w14:paraId="42E8242A" w14:textId="7CB1E0AA" w:rsidR="00851B06" w:rsidRPr="00E94510" w:rsidRDefault="00851B06" w:rsidP="00851B06">
            <w:pPr>
              <w:widowControl w:val="0"/>
              <w:spacing w:before="240" w:after="240"/>
              <w:rPr>
                <w:b/>
                <w:i/>
                <w:color w:val="FFFFFF"/>
                <w:lang w:val="en-GB"/>
              </w:rPr>
            </w:pPr>
            <w:r w:rsidRPr="00E94510">
              <w:rPr>
                <w:b/>
                <w:i/>
                <w:color w:val="FFFFFF"/>
                <w:lang w:val="en-GB"/>
              </w:rPr>
              <w:t>Thailand</w:t>
            </w:r>
          </w:p>
        </w:tc>
        <w:tc>
          <w:tcPr>
            <w:tcW w:w="1125" w:type="dxa"/>
            <w:tcBorders>
              <w:top w:val="nil"/>
              <w:left w:val="nil"/>
              <w:bottom w:val="single" w:sz="8" w:space="0" w:color="000000"/>
              <w:right w:val="single" w:sz="8" w:space="0" w:color="000000"/>
            </w:tcBorders>
            <w:tcMar>
              <w:top w:w="20" w:type="dxa"/>
              <w:left w:w="80" w:type="dxa"/>
              <w:bottom w:w="100" w:type="dxa"/>
              <w:right w:w="80" w:type="dxa"/>
            </w:tcMar>
          </w:tcPr>
          <w:p w14:paraId="5EC02889" w14:textId="4F04CA14" w:rsidR="00851B06" w:rsidRPr="00E94510" w:rsidRDefault="00851B06" w:rsidP="00851B06">
            <w:pPr>
              <w:widowControl w:val="0"/>
              <w:spacing w:before="240" w:after="240"/>
              <w:jc w:val="center"/>
              <w:rPr>
                <w:b/>
                <w:i/>
                <w:color w:val="FFFFFF"/>
                <w:lang w:val="en-GB"/>
              </w:rPr>
            </w:pPr>
            <w:r w:rsidRPr="00E94510">
              <w:rPr>
                <w:b/>
                <w:i/>
                <w:color w:val="FFFFFF"/>
                <w:lang w:val="en-GB"/>
              </w:rPr>
              <w:t>X</w:t>
            </w:r>
          </w:p>
        </w:tc>
        <w:tc>
          <w:tcPr>
            <w:tcW w:w="1755" w:type="dxa"/>
            <w:tcBorders>
              <w:top w:val="nil"/>
              <w:left w:val="nil"/>
              <w:bottom w:val="single" w:sz="8" w:space="0" w:color="000000"/>
              <w:right w:val="single" w:sz="8" w:space="0" w:color="000000"/>
            </w:tcBorders>
            <w:tcMar>
              <w:top w:w="20" w:type="dxa"/>
              <w:left w:w="80" w:type="dxa"/>
              <w:bottom w:w="100" w:type="dxa"/>
              <w:right w:w="80" w:type="dxa"/>
            </w:tcMar>
          </w:tcPr>
          <w:p w14:paraId="0CE00257" w14:textId="05C92DEC" w:rsidR="00851B06" w:rsidRPr="00E94510" w:rsidRDefault="00851B06" w:rsidP="00851B06">
            <w:pPr>
              <w:widowControl w:val="0"/>
              <w:spacing w:before="240" w:after="240"/>
              <w:jc w:val="center"/>
              <w:rPr>
                <w:b/>
                <w:i/>
                <w:color w:val="FFFFFF"/>
                <w:lang w:val="en-GB"/>
              </w:rPr>
            </w:pPr>
            <w:r w:rsidRPr="00E94510">
              <w:rPr>
                <w:b/>
                <w:i/>
                <w:color w:val="FFFFFF"/>
                <w:lang w:val="en-GB"/>
              </w:rPr>
              <w:t>X</w:t>
            </w:r>
          </w:p>
        </w:tc>
        <w:tc>
          <w:tcPr>
            <w:tcW w:w="1545" w:type="dxa"/>
            <w:tcBorders>
              <w:top w:val="nil"/>
              <w:left w:val="nil"/>
              <w:bottom w:val="single" w:sz="8" w:space="0" w:color="000000"/>
              <w:right w:val="single" w:sz="8" w:space="0" w:color="000000"/>
            </w:tcBorders>
            <w:tcMar>
              <w:top w:w="20" w:type="dxa"/>
              <w:left w:w="80" w:type="dxa"/>
              <w:bottom w:w="100" w:type="dxa"/>
              <w:right w:w="80" w:type="dxa"/>
            </w:tcMar>
          </w:tcPr>
          <w:p w14:paraId="08C66CAB" w14:textId="11F3633F" w:rsidR="00851B06" w:rsidRPr="00E94510" w:rsidRDefault="00851B06" w:rsidP="00851B06">
            <w:pPr>
              <w:widowControl w:val="0"/>
              <w:spacing w:before="240" w:after="240"/>
              <w:jc w:val="center"/>
              <w:rPr>
                <w:b/>
                <w:i/>
                <w:color w:val="FFFFFF"/>
                <w:lang w:val="en-GB"/>
              </w:rPr>
            </w:pPr>
            <w:r w:rsidRPr="00E94510">
              <w:rPr>
                <w:b/>
                <w:i/>
                <w:color w:val="FFFFFF"/>
                <w:lang w:val="en-GB"/>
              </w:rPr>
              <w:t>-</w:t>
            </w:r>
          </w:p>
        </w:tc>
        <w:tc>
          <w:tcPr>
            <w:tcW w:w="1230" w:type="dxa"/>
            <w:tcBorders>
              <w:top w:val="nil"/>
              <w:left w:val="nil"/>
              <w:bottom w:val="single" w:sz="8" w:space="0" w:color="000000"/>
              <w:right w:val="single" w:sz="8" w:space="0" w:color="000000"/>
            </w:tcBorders>
            <w:tcMar>
              <w:top w:w="20" w:type="dxa"/>
              <w:left w:w="80" w:type="dxa"/>
              <w:bottom w:w="100" w:type="dxa"/>
              <w:right w:w="80" w:type="dxa"/>
            </w:tcMar>
          </w:tcPr>
          <w:p w14:paraId="3F43A447" w14:textId="41331751" w:rsidR="00851B06" w:rsidRPr="00E94510" w:rsidRDefault="00851B06" w:rsidP="00851B06">
            <w:pPr>
              <w:widowControl w:val="0"/>
              <w:spacing w:before="240" w:after="240"/>
              <w:jc w:val="center"/>
              <w:rPr>
                <w:b/>
                <w:i/>
                <w:color w:val="FFFFFF"/>
                <w:lang w:val="en-GB"/>
              </w:rPr>
            </w:pPr>
            <w:r w:rsidRPr="00E94510">
              <w:rPr>
                <w:b/>
                <w:i/>
                <w:color w:val="FFFFFF"/>
                <w:lang w:val="en-GB"/>
              </w:rPr>
              <w:t>X</w:t>
            </w:r>
          </w:p>
        </w:tc>
        <w:tc>
          <w:tcPr>
            <w:tcW w:w="1500" w:type="dxa"/>
            <w:tcBorders>
              <w:top w:val="nil"/>
              <w:left w:val="nil"/>
              <w:bottom w:val="single" w:sz="8" w:space="0" w:color="000000"/>
              <w:right w:val="single" w:sz="8" w:space="0" w:color="000000"/>
            </w:tcBorders>
            <w:tcMar>
              <w:top w:w="20" w:type="dxa"/>
              <w:left w:w="80" w:type="dxa"/>
              <w:bottom w:w="100" w:type="dxa"/>
              <w:right w:w="80" w:type="dxa"/>
            </w:tcMar>
          </w:tcPr>
          <w:p w14:paraId="21020E90" w14:textId="60125770" w:rsidR="00851B06" w:rsidRPr="00E94510" w:rsidRDefault="00851B06" w:rsidP="00851B06">
            <w:pPr>
              <w:widowControl w:val="0"/>
              <w:spacing w:before="240" w:after="240"/>
              <w:jc w:val="center"/>
              <w:rPr>
                <w:b/>
                <w:i/>
                <w:color w:val="FFFFFF"/>
                <w:lang w:val="en-GB"/>
              </w:rPr>
            </w:pPr>
            <w:r w:rsidRPr="00E94510">
              <w:rPr>
                <w:b/>
                <w:i/>
                <w:color w:val="FFFFFF"/>
                <w:lang w:val="en-GB"/>
              </w:rPr>
              <w:t>X</w:t>
            </w:r>
          </w:p>
        </w:tc>
        <w:tc>
          <w:tcPr>
            <w:tcW w:w="1515" w:type="dxa"/>
            <w:tcBorders>
              <w:top w:val="nil"/>
              <w:left w:val="nil"/>
              <w:bottom w:val="single" w:sz="8" w:space="0" w:color="000000"/>
              <w:right w:val="single" w:sz="8" w:space="0" w:color="000000"/>
            </w:tcBorders>
            <w:tcMar>
              <w:top w:w="20" w:type="dxa"/>
              <w:left w:w="80" w:type="dxa"/>
              <w:bottom w:w="100" w:type="dxa"/>
              <w:right w:w="80" w:type="dxa"/>
            </w:tcMar>
          </w:tcPr>
          <w:p w14:paraId="66F56AD3" w14:textId="3AB15BCC" w:rsidR="00851B06" w:rsidRPr="00E94510" w:rsidRDefault="00851B06" w:rsidP="00851B06">
            <w:pPr>
              <w:widowControl w:val="0"/>
              <w:spacing w:before="240" w:after="240"/>
              <w:jc w:val="center"/>
              <w:rPr>
                <w:b/>
                <w:i/>
                <w:color w:val="FFFFFF"/>
                <w:lang w:val="en-GB"/>
              </w:rPr>
            </w:pPr>
            <w:r w:rsidRPr="00E94510">
              <w:rPr>
                <w:b/>
                <w:i/>
                <w:color w:val="FFFFFF"/>
                <w:lang w:val="en-GB"/>
              </w:rPr>
              <w:t>-</w:t>
            </w:r>
          </w:p>
        </w:tc>
      </w:tr>
      <w:tr w:rsidR="0065273F" w:rsidRPr="0065273F" w14:paraId="23176CBC" w14:textId="77777777" w:rsidTr="0065273F">
        <w:trPr>
          <w:trHeight w:val="1101"/>
        </w:trPr>
        <w:tc>
          <w:tcPr>
            <w:tcW w:w="1470" w:type="dxa"/>
            <w:tcBorders>
              <w:top w:val="nil"/>
              <w:left w:val="single" w:sz="8" w:space="0" w:color="000000"/>
              <w:bottom w:val="single" w:sz="8" w:space="0" w:color="000000"/>
              <w:right w:val="single" w:sz="8" w:space="0" w:color="000000"/>
            </w:tcBorders>
            <w:tcMar>
              <w:top w:w="20" w:type="dxa"/>
              <w:left w:w="80" w:type="dxa"/>
              <w:bottom w:w="100" w:type="dxa"/>
              <w:right w:w="80" w:type="dxa"/>
            </w:tcMar>
          </w:tcPr>
          <w:p w14:paraId="0D19931B" w14:textId="77777777" w:rsidR="0065273F" w:rsidRDefault="0065273F" w:rsidP="0065273F">
            <w:pPr>
              <w:widowControl w:val="0"/>
              <w:spacing w:before="240" w:after="240"/>
              <w:jc w:val="left"/>
              <w:rPr>
                <w:b/>
                <w:i/>
                <w:color w:val="FFFFFF"/>
                <w:lang w:val="en-GB"/>
              </w:rPr>
            </w:pPr>
            <w:r>
              <w:rPr>
                <w:b/>
                <w:i/>
                <w:color w:val="FFFFFF"/>
                <w:lang w:val="en-GB"/>
              </w:rPr>
              <w:t>Taiwan</w:t>
            </w:r>
          </w:p>
          <w:p w14:paraId="72DAAD74" w14:textId="3ED9D44B" w:rsidR="0065273F" w:rsidRPr="0021486C" w:rsidRDefault="0065273F" w:rsidP="0065273F">
            <w:pPr>
              <w:widowControl w:val="0"/>
              <w:spacing w:before="240" w:after="240"/>
              <w:jc w:val="left"/>
              <w:rPr>
                <w:b/>
                <w:i/>
                <w:color w:val="FFFFFF"/>
                <w:lang w:val="en-GB"/>
              </w:rPr>
            </w:pPr>
            <w:r w:rsidRPr="0022385C">
              <w:rPr>
                <w:bCs/>
                <w:iCs/>
                <w:color w:val="FFFFFF"/>
                <w:sz w:val="16"/>
                <w:szCs w:val="16"/>
                <w:lang w:val="en-GB"/>
              </w:rPr>
              <w:t xml:space="preserve">(It is not a member of UN) </w:t>
            </w:r>
          </w:p>
        </w:tc>
        <w:tc>
          <w:tcPr>
            <w:tcW w:w="1125" w:type="dxa"/>
            <w:tcBorders>
              <w:top w:val="nil"/>
              <w:left w:val="nil"/>
              <w:bottom w:val="single" w:sz="8" w:space="0" w:color="000000"/>
              <w:right w:val="single" w:sz="8" w:space="0" w:color="000000"/>
            </w:tcBorders>
            <w:tcMar>
              <w:top w:w="20" w:type="dxa"/>
              <w:left w:w="80" w:type="dxa"/>
              <w:bottom w:w="100" w:type="dxa"/>
              <w:right w:w="80" w:type="dxa"/>
            </w:tcMar>
          </w:tcPr>
          <w:p w14:paraId="4A3D26F6" w14:textId="306B0B54" w:rsidR="0065273F" w:rsidRPr="00E94510" w:rsidRDefault="0065273F" w:rsidP="0065273F">
            <w:pPr>
              <w:widowControl w:val="0"/>
              <w:spacing w:before="240" w:after="240"/>
              <w:jc w:val="center"/>
              <w:rPr>
                <w:b/>
                <w:i/>
                <w:color w:val="FFFFFF"/>
                <w:lang w:val="en-GB"/>
              </w:rPr>
            </w:pPr>
            <w:r w:rsidRPr="001C3E20">
              <w:rPr>
                <w:b/>
                <w:i/>
                <w:color w:val="FFFFFF"/>
                <w:lang w:val="en-GB"/>
              </w:rPr>
              <w:t>-</w:t>
            </w:r>
          </w:p>
        </w:tc>
        <w:tc>
          <w:tcPr>
            <w:tcW w:w="1755" w:type="dxa"/>
            <w:tcBorders>
              <w:top w:val="nil"/>
              <w:left w:val="nil"/>
              <w:bottom w:val="single" w:sz="8" w:space="0" w:color="000000"/>
              <w:right w:val="single" w:sz="8" w:space="0" w:color="000000"/>
            </w:tcBorders>
            <w:tcMar>
              <w:top w:w="20" w:type="dxa"/>
              <w:left w:w="80" w:type="dxa"/>
              <w:bottom w:w="100" w:type="dxa"/>
              <w:right w:w="80" w:type="dxa"/>
            </w:tcMar>
          </w:tcPr>
          <w:p w14:paraId="270C93E5" w14:textId="159E6E29" w:rsidR="0065273F" w:rsidRPr="00E94510" w:rsidRDefault="0065273F" w:rsidP="0065273F">
            <w:pPr>
              <w:widowControl w:val="0"/>
              <w:spacing w:before="240" w:after="240"/>
              <w:jc w:val="center"/>
              <w:rPr>
                <w:b/>
                <w:i/>
                <w:color w:val="FFFFFF"/>
                <w:lang w:val="en-GB"/>
              </w:rPr>
            </w:pPr>
            <w:r w:rsidRPr="001C3E20">
              <w:rPr>
                <w:b/>
                <w:i/>
                <w:color w:val="FFFFFF"/>
                <w:lang w:val="en-GB"/>
              </w:rPr>
              <w:t>-</w:t>
            </w:r>
          </w:p>
        </w:tc>
        <w:tc>
          <w:tcPr>
            <w:tcW w:w="1545" w:type="dxa"/>
            <w:tcBorders>
              <w:top w:val="nil"/>
              <w:left w:val="nil"/>
              <w:bottom w:val="single" w:sz="8" w:space="0" w:color="000000"/>
              <w:right w:val="single" w:sz="8" w:space="0" w:color="000000"/>
            </w:tcBorders>
            <w:tcMar>
              <w:top w:w="20" w:type="dxa"/>
              <w:left w:w="80" w:type="dxa"/>
              <w:bottom w:w="100" w:type="dxa"/>
              <w:right w:w="80" w:type="dxa"/>
            </w:tcMar>
          </w:tcPr>
          <w:p w14:paraId="28927A94" w14:textId="79F4C9CC" w:rsidR="0065273F" w:rsidRPr="00E94510" w:rsidRDefault="0065273F" w:rsidP="0065273F">
            <w:pPr>
              <w:widowControl w:val="0"/>
              <w:spacing w:before="240" w:after="240"/>
              <w:jc w:val="center"/>
              <w:rPr>
                <w:b/>
                <w:i/>
                <w:color w:val="FFFFFF"/>
                <w:lang w:val="en-GB"/>
              </w:rPr>
            </w:pPr>
            <w:r w:rsidRPr="001C3E20">
              <w:rPr>
                <w:b/>
                <w:i/>
                <w:color w:val="FFFFFF"/>
                <w:lang w:val="en-GB"/>
              </w:rPr>
              <w:t>-</w:t>
            </w:r>
          </w:p>
        </w:tc>
        <w:tc>
          <w:tcPr>
            <w:tcW w:w="1230" w:type="dxa"/>
            <w:tcBorders>
              <w:top w:val="nil"/>
              <w:left w:val="nil"/>
              <w:bottom w:val="single" w:sz="8" w:space="0" w:color="000000"/>
              <w:right w:val="single" w:sz="8" w:space="0" w:color="000000"/>
            </w:tcBorders>
            <w:tcMar>
              <w:top w:w="20" w:type="dxa"/>
              <w:left w:w="80" w:type="dxa"/>
              <w:bottom w:w="100" w:type="dxa"/>
              <w:right w:w="80" w:type="dxa"/>
            </w:tcMar>
          </w:tcPr>
          <w:p w14:paraId="1675570F" w14:textId="3EEE8C13" w:rsidR="0065273F" w:rsidRPr="00E94510" w:rsidRDefault="0065273F" w:rsidP="0065273F">
            <w:pPr>
              <w:widowControl w:val="0"/>
              <w:spacing w:before="240" w:after="240"/>
              <w:jc w:val="center"/>
              <w:rPr>
                <w:b/>
                <w:i/>
                <w:color w:val="FFFFFF"/>
                <w:lang w:val="en-GB"/>
              </w:rPr>
            </w:pPr>
            <w:r w:rsidRPr="001C3E20">
              <w:rPr>
                <w:b/>
                <w:i/>
                <w:color w:val="FFFFFF"/>
                <w:lang w:val="en-GB"/>
              </w:rPr>
              <w:t>-</w:t>
            </w:r>
          </w:p>
        </w:tc>
        <w:tc>
          <w:tcPr>
            <w:tcW w:w="1500" w:type="dxa"/>
            <w:tcBorders>
              <w:top w:val="nil"/>
              <w:left w:val="nil"/>
              <w:bottom w:val="single" w:sz="8" w:space="0" w:color="000000"/>
              <w:right w:val="single" w:sz="8" w:space="0" w:color="000000"/>
            </w:tcBorders>
            <w:tcMar>
              <w:top w:w="20" w:type="dxa"/>
              <w:left w:w="80" w:type="dxa"/>
              <w:bottom w:w="100" w:type="dxa"/>
              <w:right w:w="80" w:type="dxa"/>
            </w:tcMar>
          </w:tcPr>
          <w:p w14:paraId="2E99A561" w14:textId="60807D35" w:rsidR="0065273F" w:rsidRPr="00E94510" w:rsidRDefault="0065273F" w:rsidP="0065273F">
            <w:pPr>
              <w:widowControl w:val="0"/>
              <w:spacing w:before="240" w:after="240"/>
              <w:jc w:val="center"/>
              <w:rPr>
                <w:b/>
                <w:i/>
                <w:color w:val="FFFFFF"/>
                <w:lang w:val="en-GB"/>
              </w:rPr>
            </w:pPr>
            <w:r w:rsidRPr="001C3E20">
              <w:rPr>
                <w:b/>
                <w:i/>
                <w:color w:val="FFFFFF"/>
                <w:lang w:val="en-GB"/>
              </w:rPr>
              <w:t>-</w:t>
            </w:r>
          </w:p>
        </w:tc>
        <w:tc>
          <w:tcPr>
            <w:tcW w:w="1515" w:type="dxa"/>
            <w:tcBorders>
              <w:top w:val="nil"/>
              <w:left w:val="nil"/>
              <w:bottom w:val="single" w:sz="8" w:space="0" w:color="000000"/>
              <w:right w:val="single" w:sz="8" w:space="0" w:color="000000"/>
            </w:tcBorders>
            <w:tcMar>
              <w:top w:w="20" w:type="dxa"/>
              <w:left w:w="80" w:type="dxa"/>
              <w:bottom w:w="100" w:type="dxa"/>
              <w:right w:w="80" w:type="dxa"/>
            </w:tcMar>
          </w:tcPr>
          <w:p w14:paraId="576A464A" w14:textId="3C503EF5" w:rsidR="0065273F" w:rsidRPr="00E94510" w:rsidRDefault="0065273F" w:rsidP="0065273F">
            <w:pPr>
              <w:widowControl w:val="0"/>
              <w:spacing w:before="240" w:after="240"/>
              <w:jc w:val="center"/>
              <w:rPr>
                <w:b/>
                <w:i/>
                <w:color w:val="FFFFFF"/>
                <w:lang w:val="en-GB"/>
              </w:rPr>
            </w:pPr>
            <w:r w:rsidRPr="001C3E20">
              <w:rPr>
                <w:b/>
                <w:i/>
                <w:color w:val="FFFFFF"/>
                <w:lang w:val="en-GB"/>
              </w:rPr>
              <w:t>-</w:t>
            </w:r>
          </w:p>
        </w:tc>
      </w:tr>
      <w:tr w:rsidR="0065273F" w:rsidRPr="0065273F" w14:paraId="21816BC1" w14:textId="77777777">
        <w:trPr>
          <w:trHeight w:val="385"/>
        </w:trPr>
        <w:tc>
          <w:tcPr>
            <w:tcW w:w="1470" w:type="dxa"/>
            <w:tcBorders>
              <w:top w:val="nil"/>
              <w:left w:val="single" w:sz="8" w:space="0" w:color="000000"/>
              <w:bottom w:val="single" w:sz="8" w:space="0" w:color="000000"/>
              <w:right w:val="single" w:sz="8" w:space="0" w:color="000000"/>
            </w:tcBorders>
            <w:tcMar>
              <w:top w:w="20" w:type="dxa"/>
              <w:left w:w="80" w:type="dxa"/>
              <w:bottom w:w="100" w:type="dxa"/>
              <w:right w:w="80" w:type="dxa"/>
            </w:tcMar>
          </w:tcPr>
          <w:p w14:paraId="62C37289" w14:textId="60669C42" w:rsidR="0065273F" w:rsidRPr="00E94510" w:rsidRDefault="0065273F" w:rsidP="0065273F">
            <w:pPr>
              <w:widowControl w:val="0"/>
              <w:spacing w:before="240" w:after="240"/>
              <w:rPr>
                <w:b/>
                <w:i/>
                <w:color w:val="FFFFFF"/>
                <w:lang w:val="en-GB"/>
              </w:rPr>
            </w:pPr>
            <w:r>
              <w:rPr>
                <w:b/>
                <w:i/>
                <w:color w:val="FFFFFF"/>
                <w:lang w:val="en-GB"/>
              </w:rPr>
              <w:t>Ecuador</w:t>
            </w:r>
          </w:p>
        </w:tc>
        <w:tc>
          <w:tcPr>
            <w:tcW w:w="1125" w:type="dxa"/>
            <w:tcBorders>
              <w:top w:val="nil"/>
              <w:left w:val="nil"/>
              <w:bottom w:val="single" w:sz="8" w:space="0" w:color="000000"/>
              <w:right w:val="single" w:sz="8" w:space="0" w:color="000000"/>
            </w:tcBorders>
            <w:tcMar>
              <w:top w:w="20" w:type="dxa"/>
              <w:left w:w="80" w:type="dxa"/>
              <w:bottom w:w="100" w:type="dxa"/>
              <w:right w:w="80" w:type="dxa"/>
            </w:tcMar>
          </w:tcPr>
          <w:p w14:paraId="7F0DE42E" w14:textId="0E0E11C8" w:rsidR="0065273F" w:rsidRPr="00E94510" w:rsidRDefault="0065273F" w:rsidP="0065273F">
            <w:pPr>
              <w:widowControl w:val="0"/>
              <w:spacing w:before="240" w:after="240"/>
              <w:jc w:val="center"/>
              <w:rPr>
                <w:b/>
                <w:i/>
                <w:color w:val="FFFFFF"/>
                <w:lang w:val="en-GB"/>
              </w:rPr>
            </w:pPr>
            <w:r w:rsidRPr="00BE006C">
              <w:rPr>
                <w:b/>
                <w:i/>
                <w:color w:val="FFFFFF"/>
                <w:lang w:val="en-GB"/>
              </w:rPr>
              <w:t>X</w:t>
            </w:r>
          </w:p>
        </w:tc>
        <w:tc>
          <w:tcPr>
            <w:tcW w:w="1755" w:type="dxa"/>
            <w:tcBorders>
              <w:top w:val="nil"/>
              <w:left w:val="nil"/>
              <w:bottom w:val="single" w:sz="8" w:space="0" w:color="000000"/>
              <w:right w:val="single" w:sz="8" w:space="0" w:color="000000"/>
            </w:tcBorders>
            <w:tcMar>
              <w:top w:w="20" w:type="dxa"/>
              <w:left w:w="80" w:type="dxa"/>
              <w:bottom w:w="100" w:type="dxa"/>
              <w:right w:w="80" w:type="dxa"/>
            </w:tcMar>
          </w:tcPr>
          <w:p w14:paraId="52F7C6ED" w14:textId="68540ECD" w:rsidR="0065273F" w:rsidRPr="00E94510" w:rsidRDefault="0065273F" w:rsidP="0065273F">
            <w:pPr>
              <w:widowControl w:val="0"/>
              <w:spacing w:before="240" w:after="240"/>
              <w:jc w:val="center"/>
              <w:rPr>
                <w:b/>
                <w:i/>
                <w:color w:val="FFFFFF"/>
                <w:lang w:val="en-GB"/>
              </w:rPr>
            </w:pPr>
            <w:r w:rsidRPr="00BE006C">
              <w:rPr>
                <w:b/>
                <w:i/>
                <w:color w:val="FFFFFF"/>
                <w:lang w:val="en-GB"/>
              </w:rPr>
              <w:t>X</w:t>
            </w:r>
          </w:p>
        </w:tc>
        <w:tc>
          <w:tcPr>
            <w:tcW w:w="1545" w:type="dxa"/>
            <w:tcBorders>
              <w:top w:val="nil"/>
              <w:left w:val="nil"/>
              <w:bottom w:val="single" w:sz="8" w:space="0" w:color="000000"/>
              <w:right w:val="single" w:sz="8" w:space="0" w:color="000000"/>
            </w:tcBorders>
            <w:tcMar>
              <w:top w:w="20" w:type="dxa"/>
              <w:left w:w="80" w:type="dxa"/>
              <w:bottom w:w="100" w:type="dxa"/>
              <w:right w:w="80" w:type="dxa"/>
            </w:tcMar>
          </w:tcPr>
          <w:p w14:paraId="069742A6" w14:textId="76C010CD" w:rsidR="0065273F" w:rsidRPr="00E94510" w:rsidRDefault="0065273F" w:rsidP="0065273F">
            <w:pPr>
              <w:widowControl w:val="0"/>
              <w:spacing w:before="240" w:after="240"/>
              <w:jc w:val="center"/>
              <w:rPr>
                <w:b/>
                <w:i/>
                <w:color w:val="FFFFFF"/>
                <w:lang w:val="en-GB"/>
              </w:rPr>
            </w:pPr>
            <w:r w:rsidRPr="00554FE3">
              <w:rPr>
                <w:b/>
                <w:i/>
                <w:color w:val="FFFFFF"/>
                <w:lang w:val="en-GB"/>
              </w:rPr>
              <w:t>-</w:t>
            </w:r>
          </w:p>
        </w:tc>
        <w:tc>
          <w:tcPr>
            <w:tcW w:w="1230" w:type="dxa"/>
            <w:tcBorders>
              <w:top w:val="nil"/>
              <w:left w:val="nil"/>
              <w:bottom w:val="single" w:sz="8" w:space="0" w:color="000000"/>
              <w:right w:val="single" w:sz="8" w:space="0" w:color="000000"/>
            </w:tcBorders>
            <w:tcMar>
              <w:top w:w="20" w:type="dxa"/>
              <w:left w:w="80" w:type="dxa"/>
              <w:bottom w:w="100" w:type="dxa"/>
              <w:right w:w="80" w:type="dxa"/>
            </w:tcMar>
          </w:tcPr>
          <w:p w14:paraId="73E497E5" w14:textId="2F3D2D58" w:rsidR="0065273F" w:rsidRPr="00E94510" w:rsidRDefault="0065273F" w:rsidP="0065273F">
            <w:pPr>
              <w:widowControl w:val="0"/>
              <w:spacing w:before="240" w:after="240"/>
              <w:jc w:val="center"/>
              <w:rPr>
                <w:b/>
                <w:i/>
                <w:color w:val="FFFFFF"/>
                <w:lang w:val="en-GB"/>
              </w:rPr>
            </w:pPr>
            <w:r w:rsidRPr="00DB3792">
              <w:rPr>
                <w:b/>
                <w:i/>
                <w:color w:val="FFFFFF"/>
                <w:lang w:val="en-GB"/>
              </w:rPr>
              <w:t>X</w:t>
            </w:r>
          </w:p>
        </w:tc>
        <w:tc>
          <w:tcPr>
            <w:tcW w:w="1500" w:type="dxa"/>
            <w:tcBorders>
              <w:top w:val="nil"/>
              <w:left w:val="nil"/>
              <w:bottom w:val="single" w:sz="8" w:space="0" w:color="000000"/>
              <w:right w:val="single" w:sz="8" w:space="0" w:color="000000"/>
            </w:tcBorders>
            <w:tcMar>
              <w:top w:w="20" w:type="dxa"/>
              <w:left w:w="80" w:type="dxa"/>
              <w:bottom w:w="100" w:type="dxa"/>
              <w:right w:w="80" w:type="dxa"/>
            </w:tcMar>
          </w:tcPr>
          <w:p w14:paraId="23A411DF" w14:textId="2D0C4AD0" w:rsidR="0065273F" w:rsidRPr="00E94510" w:rsidRDefault="0065273F" w:rsidP="0065273F">
            <w:pPr>
              <w:widowControl w:val="0"/>
              <w:spacing w:before="240" w:after="240"/>
              <w:jc w:val="center"/>
              <w:rPr>
                <w:b/>
                <w:i/>
                <w:color w:val="FFFFFF"/>
                <w:lang w:val="en-GB"/>
              </w:rPr>
            </w:pPr>
            <w:r w:rsidRPr="008B5EF5">
              <w:rPr>
                <w:b/>
                <w:i/>
                <w:color w:val="FFFFFF"/>
                <w:lang w:val="en-GB"/>
              </w:rPr>
              <w:t>-</w:t>
            </w:r>
          </w:p>
        </w:tc>
        <w:tc>
          <w:tcPr>
            <w:tcW w:w="1515" w:type="dxa"/>
            <w:tcBorders>
              <w:top w:val="nil"/>
              <w:left w:val="nil"/>
              <w:bottom w:val="single" w:sz="8" w:space="0" w:color="000000"/>
              <w:right w:val="single" w:sz="8" w:space="0" w:color="000000"/>
            </w:tcBorders>
            <w:tcMar>
              <w:top w:w="20" w:type="dxa"/>
              <w:left w:w="80" w:type="dxa"/>
              <w:bottom w:w="100" w:type="dxa"/>
              <w:right w:w="80" w:type="dxa"/>
            </w:tcMar>
          </w:tcPr>
          <w:p w14:paraId="684E5E38" w14:textId="64843A4D" w:rsidR="0065273F" w:rsidRPr="00E94510" w:rsidRDefault="0065273F" w:rsidP="0065273F">
            <w:pPr>
              <w:widowControl w:val="0"/>
              <w:spacing w:before="240" w:after="240"/>
              <w:jc w:val="center"/>
              <w:rPr>
                <w:b/>
                <w:i/>
                <w:color w:val="FFFFFF"/>
                <w:lang w:val="en-GB"/>
              </w:rPr>
            </w:pPr>
            <w:r w:rsidRPr="006A677E">
              <w:rPr>
                <w:b/>
                <w:i/>
                <w:color w:val="FFFFFF"/>
                <w:lang w:val="en-GB"/>
              </w:rPr>
              <w:t>X</w:t>
            </w:r>
          </w:p>
        </w:tc>
      </w:tr>
      <w:tr w:rsidR="0065273F" w:rsidRPr="0065273F" w14:paraId="5F137E74" w14:textId="77777777" w:rsidTr="00851B06">
        <w:trPr>
          <w:trHeight w:val="505"/>
        </w:trPr>
        <w:tc>
          <w:tcPr>
            <w:tcW w:w="1470" w:type="dxa"/>
            <w:tcBorders>
              <w:top w:val="nil"/>
              <w:left w:val="single" w:sz="8" w:space="0" w:color="000000"/>
              <w:bottom w:val="single" w:sz="4" w:space="0" w:color="auto"/>
              <w:right w:val="single" w:sz="8" w:space="0" w:color="000000"/>
            </w:tcBorders>
            <w:tcMar>
              <w:top w:w="20" w:type="dxa"/>
              <w:left w:w="80" w:type="dxa"/>
              <w:bottom w:w="100" w:type="dxa"/>
              <w:right w:w="80" w:type="dxa"/>
            </w:tcMar>
          </w:tcPr>
          <w:p w14:paraId="74722F29" w14:textId="76D59B07" w:rsidR="0065273F" w:rsidRPr="00E94510" w:rsidRDefault="0065273F" w:rsidP="0065273F">
            <w:pPr>
              <w:widowControl w:val="0"/>
              <w:spacing w:before="240" w:after="240"/>
              <w:rPr>
                <w:b/>
                <w:i/>
                <w:color w:val="FFFFFF"/>
                <w:lang w:val="en-GB"/>
              </w:rPr>
            </w:pPr>
            <w:r>
              <w:rPr>
                <w:b/>
                <w:i/>
                <w:color w:val="FFFFFF"/>
                <w:lang w:val="en-GB"/>
              </w:rPr>
              <w:t>Panama</w:t>
            </w:r>
          </w:p>
        </w:tc>
        <w:tc>
          <w:tcPr>
            <w:tcW w:w="1125" w:type="dxa"/>
            <w:tcBorders>
              <w:top w:val="nil"/>
              <w:left w:val="nil"/>
              <w:bottom w:val="single" w:sz="4" w:space="0" w:color="auto"/>
              <w:right w:val="single" w:sz="8" w:space="0" w:color="000000"/>
            </w:tcBorders>
            <w:tcMar>
              <w:top w:w="20" w:type="dxa"/>
              <w:left w:w="80" w:type="dxa"/>
              <w:bottom w:w="100" w:type="dxa"/>
              <w:right w:w="80" w:type="dxa"/>
            </w:tcMar>
          </w:tcPr>
          <w:p w14:paraId="5B882E48" w14:textId="4CCCCFFE" w:rsidR="0065273F" w:rsidRPr="00E94510" w:rsidRDefault="0065273F" w:rsidP="0065273F">
            <w:pPr>
              <w:widowControl w:val="0"/>
              <w:spacing w:before="240" w:after="240"/>
              <w:jc w:val="center"/>
              <w:rPr>
                <w:b/>
                <w:i/>
                <w:color w:val="FFFFFF"/>
                <w:lang w:val="en-GB"/>
              </w:rPr>
            </w:pPr>
            <w:r w:rsidRPr="00BE006C">
              <w:rPr>
                <w:b/>
                <w:i/>
                <w:color w:val="FFFFFF"/>
                <w:lang w:val="en-GB"/>
              </w:rPr>
              <w:t>X</w:t>
            </w:r>
          </w:p>
        </w:tc>
        <w:tc>
          <w:tcPr>
            <w:tcW w:w="1755" w:type="dxa"/>
            <w:tcBorders>
              <w:top w:val="nil"/>
              <w:left w:val="nil"/>
              <w:bottom w:val="single" w:sz="4" w:space="0" w:color="auto"/>
              <w:right w:val="single" w:sz="8" w:space="0" w:color="000000"/>
            </w:tcBorders>
            <w:tcMar>
              <w:top w:w="20" w:type="dxa"/>
              <w:left w:w="80" w:type="dxa"/>
              <w:bottom w:w="100" w:type="dxa"/>
              <w:right w:w="80" w:type="dxa"/>
            </w:tcMar>
          </w:tcPr>
          <w:p w14:paraId="126459B3" w14:textId="7BC8ABE8" w:rsidR="0065273F" w:rsidRPr="00E94510" w:rsidRDefault="0065273F" w:rsidP="0065273F">
            <w:pPr>
              <w:widowControl w:val="0"/>
              <w:spacing w:before="240" w:after="240"/>
              <w:jc w:val="center"/>
              <w:rPr>
                <w:b/>
                <w:i/>
                <w:color w:val="FFFFFF"/>
                <w:lang w:val="en-GB"/>
              </w:rPr>
            </w:pPr>
            <w:r w:rsidRPr="00BE006C">
              <w:rPr>
                <w:b/>
                <w:i/>
                <w:color w:val="FFFFFF"/>
                <w:lang w:val="en-GB"/>
              </w:rPr>
              <w:t>X</w:t>
            </w:r>
          </w:p>
        </w:tc>
        <w:tc>
          <w:tcPr>
            <w:tcW w:w="1545" w:type="dxa"/>
            <w:tcBorders>
              <w:top w:val="nil"/>
              <w:left w:val="nil"/>
              <w:bottom w:val="single" w:sz="4" w:space="0" w:color="auto"/>
              <w:right w:val="single" w:sz="8" w:space="0" w:color="000000"/>
            </w:tcBorders>
            <w:tcMar>
              <w:top w:w="20" w:type="dxa"/>
              <w:left w:w="80" w:type="dxa"/>
              <w:bottom w:w="100" w:type="dxa"/>
              <w:right w:w="80" w:type="dxa"/>
            </w:tcMar>
          </w:tcPr>
          <w:p w14:paraId="2ED1DDD4" w14:textId="41518441" w:rsidR="0065273F" w:rsidRPr="00E94510" w:rsidRDefault="0065273F" w:rsidP="0065273F">
            <w:pPr>
              <w:widowControl w:val="0"/>
              <w:spacing w:before="240" w:after="240"/>
              <w:jc w:val="center"/>
              <w:rPr>
                <w:b/>
                <w:i/>
                <w:color w:val="FFFFFF"/>
                <w:lang w:val="en-GB"/>
              </w:rPr>
            </w:pPr>
            <w:r w:rsidRPr="00554FE3">
              <w:rPr>
                <w:b/>
                <w:i/>
                <w:color w:val="FFFFFF"/>
                <w:lang w:val="en-GB"/>
              </w:rPr>
              <w:t>-</w:t>
            </w:r>
          </w:p>
        </w:tc>
        <w:tc>
          <w:tcPr>
            <w:tcW w:w="1230" w:type="dxa"/>
            <w:tcBorders>
              <w:top w:val="nil"/>
              <w:left w:val="nil"/>
              <w:bottom w:val="single" w:sz="4" w:space="0" w:color="auto"/>
              <w:right w:val="single" w:sz="8" w:space="0" w:color="000000"/>
            </w:tcBorders>
            <w:tcMar>
              <w:top w:w="20" w:type="dxa"/>
              <w:left w:w="80" w:type="dxa"/>
              <w:bottom w:w="100" w:type="dxa"/>
              <w:right w:w="80" w:type="dxa"/>
            </w:tcMar>
          </w:tcPr>
          <w:p w14:paraId="4437D187" w14:textId="59014702" w:rsidR="0065273F" w:rsidRPr="00E94510" w:rsidRDefault="0065273F" w:rsidP="0065273F">
            <w:pPr>
              <w:widowControl w:val="0"/>
              <w:spacing w:before="240" w:after="240"/>
              <w:jc w:val="center"/>
              <w:rPr>
                <w:b/>
                <w:i/>
                <w:color w:val="FFFFFF"/>
                <w:lang w:val="en-GB"/>
              </w:rPr>
            </w:pPr>
            <w:r w:rsidRPr="00DB3792">
              <w:rPr>
                <w:b/>
                <w:i/>
                <w:color w:val="FFFFFF"/>
                <w:lang w:val="en-GB"/>
              </w:rPr>
              <w:t>X</w:t>
            </w:r>
          </w:p>
        </w:tc>
        <w:tc>
          <w:tcPr>
            <w:tcW w:w="1500" w:type="dxa"/>
            <w:tcBorders>
              <w:top w:val="nil"/>
              <w:left w:val="nil"/>
              <w:bottom w:val="single" w:sz="4" w:space="0" w:color="auto"/>
              <w:right w:val="single" w:sz="8" w:space="0" w:color="000000"/>
            </w:tcBorders>
            <w:tcMar>
              <w:top w:w="20" w:type="dxa"/>
              <w:left w:w="80" w:type="dxa"/>
              <w:bottom w:w="100" w:type="dxa"/>
              <w:right w:w="80" w:type="dxa"/>
            </w:tcMar>
          </w:tcPr>
          <w:p w14:paraId="2C6DF4C5" w14:textId="4B9ECADA" w:rsidR="0065273F" w:rsidRPr="00E94510" w:rsidRDefault="0065273F" w:rsidP="0065273F">
            <w:pPr>
              <w:widowControl w:val="0"/>
              <w:spacing w:before="240" w:after="240"/>
              <w:jc w:val="center"/>
              <w:rPr>
                <w:b/>
                <w:i/>
                <w:color w:val="FFFFFF"/>
                <w:lang w:val="en-GB"/>
              </w:rPr>
            </w:pPr>
            <w:r w:rsidRPr="008B5EF5">
              <w:rPr>
                <w:b/>
                <w:i/>
                <w:color w:val="FFFFFF"/>
                <w:lang w:val="en-GB"/>
              </w:rPr>
              <w:t>-</w:t>
            </w:r>
          </w:p>
        </w:tc>
        <w:tc>
          <w:tcPr>
            <w:tcW w:w="1515" w:type="dxa"/>
            <w:tcBorders>
              <w:top w:val="nil"/>
              <w:left w:val="nil"/>
              <w:bottom w:val="single" w:sz="4" w:space="0" w:color="auto"/>
              <w:right w:val="single" w:sz="8" w:space="0" w:color="000000"/>
            </w:tcBorders>
            <w:tcMar>
              <w:top w:w="20" w:type="dxa"/>
              <w:left w:w="80" w:type="dxa"/>
              <w:bottom w:w="100" w:type="dxa"/>
              <w:right w:w="80" w:type="dxa"/>
            </w:tcMar>
          </w:tcPr>
          <w:p w14:paraId="11540369" w14:textId="3FBD8552" w:rsidR="0065273F" w:rsidRPr="00E94510" w:rsidRDefault="0065273F" w:rsidP="0065273F">
            <w:pPr>
              <w:widowControl w:val="0"/>
              <w:spacing w:before="240" w:after="240"/>
              <w:jc w:val="center"/>
              <w:rPr>
                <w:b/>
                <w:i/>
                <w:color w:val="FFFFFF"/>
                <w:lang w:val="en-GB"/>
              </w:rPr>
            </w:pPr>
            <w:r w:rsidRPr="006A677E">
              <w:rPr>
                <w:b/>
                <w:i/>
                <w:color w:val="FFFFFF"/>
                <w:lang w:val="en-GB"/>
              </w:rPr>
              <w:t>X</w:t>
            </w:r>
          </w:p>
        </w:tc>
      </w:tr>
    </w:tbl>
    <w:p w14:paraId="7B359B04" w14:textId="77777777" w:rsidR="00EA1A75" w:rsidRDefault="00EA1A75" w:rsidP="00631610">
      <w:pPr>
        <w:widowControl w:val="0"/>
        <w:spacing w:after="0"/>
        <w:ind w:left="220"/>
        <w:jc w:val="left"/>
        <w:rPr>
          <w:i/>
          <w:color w:val="00B050"/>
          <w:lang w:val="en-GB"/>
        </w:rPr>
      </w:pPr>
    </w:p>
    <w:p w14:paraId="6AFBB3A3" w14:textId="77777777" w:rsidR="00EA1A75" w:rsidRDefault="00EA1A75" w:rsidP="00631610">
      <w:pPr>
        <w:widowControl w:val="0"/>
        <w:spacing w:after="0"/>
        <w:ind w:left="220"/>
        <w:jc w:val="left"/>
        <w:rPr>
          <w:i/>
          <w:color w:val="00B050"/>
          <w:lang w:val="en-GB"/>
        </w:rPr>
      </w:pPr>
    </w:p>
    <w:p w14:paraId="6179CEEE" w14:textId="77777777" w:rsidR="00EA1A75" w:rsidRDefault="00EA1A75" w:rsidP="00631610">
      <w:pPr>
        <w:widowControl w:val="0"/>
        <w:spacing w:after="0"/>
        <w:ind w:left="220"/>
        <w:jc w:val="left"/>
        <w:rPr>
          <w:i/>
          <w:color w:val="00B050"/>
          <w:lang w:val="en-GB"/>
        </w:rPr>
      </w:pPr>
    </w:p>
    <w:p w14:paraId="1E969202" w14:textId="4CED174D" w:rsidR="008513F2" w:rsidRDefault="008513F2" w:rsidP="00A23A47">
      <w:pPr>
        <w:widowControl w:val="0"/>
        <w:spacing w:after="0"/>
        <w:jc w:val="left"/>
        <w:rPr>
          <w:i/>
          <w:lang w:val="en-GB"/>
        </w:rPr>
      </w:pPr>
    </w:p>
    <w:p w14:paraId="3EA3B333" w14:textId="291E7748" w:rsidR="0021486C" w:rsidRDefault="0021486C" w:rsidP="00A23A47">
      <w:pPr>
        <w:widowControl w:val="0"/>
        <w:spacing w:after="0"/>
        <w:jc w:val="left"/>
        <w:rPr>
          <w:i/>
          <w:lang w:val="en-GB"/>
        </w:rPr>
      </w:pPr>
    </w:p>
    <w:p w14:paraId="10D2D123" w14:textId="77777777" w:rsidR="0021486C" w:rsidRDefault="0021486C" w:rsidP="00A23A47">
      <w:pPr>
        <w:widowControl w:val="0"/>
        <w:spacing w:after="0"/>
        <w:jc w:val="left"/>
        <w:rPr>
          <w:i/>
          <w:lang w:val="en-GB"/>
        </w:rPr>
      </w:pPr>
    </w:p>
    <w:p w14:paraId="09E70189" w14:textId="24DC3DAF" w:rsidR="00281246" w:rsidRPr="00E94510" w:rsidRDefault="00743AC7" w:rsidP="00631610">
      <w:pPr>
        <w:widowControl w:val="0"/>
        <w:spacing w:after="0"/>
        <w:ind w:left="220"/>
        <w:jc w:val="left"/>
        <w:rPr>
          <w:i/>
          <w:color w:val="00B050"/>
          <w:lang w:val="en-GB"/>
        </w:rPr>
      </w:pPr>
      <w:r w:rsidRPr="00EA1A75">
        <w:rPr>
          <w:i/>
          <w:u w:val="single"/>
          <w:lang w:val="en-GB"/>
        </w:rPr>
        <w:lastRenderedPageBreak/>
        <w:t>Table 2</w:t>
      </w:r>
      <w:r w:rsidRPr="00E94510">
        <w:rPr>
          <w:i/>
          <w:lang w:val="en-GB"/>
        </w:rPr>
        <w:t>: Conventions related to labour conditions</w:t>
      </w:r>
      <w:r w:rsidR="00CD08F1">
        <w:rPr>
          <w:i/>
          <w:lang w:val="en-GB"/>
        </w:rPr>
        <w:t xml:space="preserve"> (as of 20.4.2021)</w:t>
      </w:r>
      <w:r w:rsidRPr="00E94510">
        <w:rPr>
          <w:i/>
          <w:lang w:val="en-GB"/>
        </w:rPr>
        <w:br/>
      </w:r>
    </w:p>
    <w:tbl>
      <w:tblPr>
        <w:tblStyle w:val="a4"/>
        <w:tblW w:w="9270" w:type="dxa"/>
        <w:tblInd w:w="-620" w:type="dxa"/>
        <w:tblBorders>
          <w:top w:val="nil"/>
          <w:left w:val="nil"/>
          <w:bottom w:val="nil"/>
          <w:right w:val="nil"/>
          <w:insideH w:val="nil"/>
          <w:insideV w:val="nil"/>
        </w:tblBorders>
        <w:tblLayout w:type="fixed"/>
        <w:tblLook w:val="0600" w:firstRow="0" w:lastRow="0" w:firstColumn="0" w:lastColumn="0" w:noHBand="1" w:noVBand="1"/>
      </w:tblPr>
      <w:tblGrid>
        <w:gridCol w:w="1603"/>
        <w:gridCol w:w="1559"/>
        <w:gridCol w:w="1701"/>
        <w:gridCol w:w="2562"/>
        <w:gridCol w:w="1845"/>
      </w:tblGrid>
      <w:tr w:rsidR="00281246" w:rsidRPr="004B3125" w14:paraId="7CBDD647" w14:textId="77777777" w:rsidTr="002963B1">
        <w:trPr>
          <w:trHeight w:val="1619"/>
        </w:trPr>
        <w:tc>
          <w:tcPr>
            <w:tcW w:w="1603" w:type="dxa"/>
            <w:tcBorders>
              <w:top w:val="single" w:sz="8" w:space="0" w:color="000000"/>
              <w:left w:val="single" w:sz="8" w:space="0" w:color="000000"/>
              <w:bottom w:val="single" w:sz="8" w:space="0" w:color="000000"/>
              <w:right w:val="single" w:sz="8" w:space="0" w:color="000000"/>
            </w:tcBorders>
            <w:shd w:val="clear" w:color="auto" w:fill="548DD4"/>
            <w:tcMar>
              <w:top w:w="20" w:type="dxa"/>
              <w:left w:w="100" w:type="dxa"/>
              <w:bottom w:w="100" w:type="dxa"/>
              <w:right w:w="100" w:type="dxa"/>
            </w:tcMar>
          </w:tcPr>
          <w:p w14:paraId="7E328CA1" w14:textId="77777777" w:rsidR="00281246" w:rsidRPr="00E94510" w:rsidRDefault="00743AC7">
            <w:pPr>
              <w:widowControl w:val="0"/>
              <w:spacing w:after="0"/>
              <w:jc w:val="center"/>
              <w:rPr>
                <w:b/>
                <w:i/>
                <w:color w:val="FFFFFF"/>
                <w:lang w:val="en-GB"/>
              </w:rPr>
            </w:pPr>
            <w:r w:rsidRPr="00E94510">
              <w:rPr>
                <w:b/>
                <w:i/>
                <w:color w:val="FFFFFF"/>
                <w:lang w:val="en-GB"/>
              </w:rPr>
              <w:t>Teatries</w:t>
            </w:r>
          </w:p>
          <w:p w14:paraId="7449EE9A" w14:textId="77777777" w:rsidR="00281246" w:rsidRPr="00E94510" w:rsidRDefault="00743AC7">
            <w:pPr>
              <w:widowControl w:val="0"/>
              <w:spacing w:after="0"/>
              <w:ind w:left="100"/>
              <w:jc w:val="center"/>
              <w:rPr>
                <w:b/>
                <w:i/>
                <w:color w:val="00B050"/>
                <w:lang w:val="en-GB"/>
              </w:rPr>
            </w:pPr>
            <w:r w:rsidRPr="00E94510">
              <w:rPr>
                <w:b/>
                <w:i/>
                <w:color w:val="00B050"/>
                <w:lang w:val="en-GB"/>
              </w:rPr>
              <w:t xml:space="preserve"> </w:t>
            </w:r>
          </w:p>
          <w:p w14:paraId="53537C5C" w14:textId="77777777" w:rsidR="00281246" w:rsidRPr="00E94510" w:rsidRDefault="00743AC7">
            <w:pPr>
              <w:widowControl w:val="0"/>
              <w:spacing w:after="0"/>
              <w:ind w:left="100"/>
              <w:jc w:val="center"/>
              <w:rPr>
                <w:b/>
                <w:i/>
                <w:color w:val="00B050"/>
                <w:lang w:val="en-GB"/>
              </w:rPr>
            </w:pPr>
            <w:r w:rsidRPr="00E94510">
              <w:rPr>
                <w:b/>
                <w:i/>
                <w:color w:val="00B050"/>
                <w:lang w:val="en-GB"/>
              </w:rPr>
              <w:t xml:space="preserve"> </w:t>
            </w:r>
          </w:p>
          <w:p w14:paraId="44D6BD59" w14:textId="77777777" w:rsidR="00281246" w:rsidRPr="00E94510" w:rsidRDefault="00743AC7">
            <w:pPr>
              <w:widowControl w:val="0"/>
              <w:spacing w:after="0"/>
              <w:ind w:left="100"/>
              <w:jc w:val="center"/>
              <w:rPr>
                <w:b/>
                <w:i/>
                <w:color w:val="FFFFFF"/>
                <w:lang w:val="en-GB"/>
              </w:rPr>
            </w:pPr>
            <w:r w:rsidRPr="00E94510">
              <w:rPr>
                <w:b/>
                <w:i/>
                <w:color w:val="00B050"/>
                <w:lang w:val="en-GB"/>
              </w:rPr>
              <w:t xml:space="preserve"> </w:t>
            </w:r>
          </w:p>
        </w:tc>
        <w:tc>
          <w:tcPr>
            <w:tcW w:w="1559" w:type="dxa"/>
            <w:tcBorders>
              <w:top w:val="single" w:sz="8" w:space="0" w:color="000000"/>
              <w:left w:val="nil"/>
              <w:bottom w:val="single" w:sz="8" w:space="0" w:color="000000"/>
              <w:right w:val="single" w:sz="8" w:space="0" w:color="000000"/>
            </w:tcBorders>
            <w:shd w:val="clear" w:color="auto" w:fill="548DD4"/>
            <w:tcMar>
              <w:top w:w="20" w:type="dxa"/>
              <w:left w:w="100" w:type="dxa"/>
              <w:bottom w:w="100" w:type="dxa"/>
              <w:right w:w="100" w:type="dxa"/>
            </w:tcMar>
          </w:tcPr>
          <w:p w14:paraId="7D2AD6B2" w14:textId="77777777" w:rsidR="00281246" w:rsidRPr="00E94510" w:rsidRDefault="00743AC7">
            <w:pPr>
              <w:widowControl w:val="0"/>
              <w:spacing w:after="0"/>
              <w:ind w:left="220" w:right="120"/>
              <w:jc w:val="center"/>
              <w:rPr>
                <w:i/>
                <w:color w:val="FFFFFF"/>
                <w:lang w:val="en-GB"/>
              </w:rPr>
            </w:pPr>
            <w:r w:rsidRPr="00E94510">
              <w:rPr>
                <w:i/>
                <w:color w:val="FFFFFF"/>
                <w:lang w:val="en-GB"/>
              </w:rPr>
              <w:t>Maritime Labour Convention (MLC)</w:t>
            </w:r>
            <w:r w:rsidRPr="00E94510">
              <w:rPr>
                <w:i/>
                <w:color w:val="FFFFFF"/>
                <w:vertAlign w:val="superscript"/>
                <w:lang w:val="en-GB"/>
              </w:rPr>
              <w:footnoteReference w:id="115"/>
            </w:r>
          </w:p>
        </w:tc>
        <w:tc>
          <w:tcPr>
            <w:tcW w:w="1701" w:type="dxa"/>
            <w:tcBorders>
              <w:top w:val="single" w:sz="8" w:space="0" w:color="000000"/>
              <w:left w:val="nil"/>
              <w:bottom w:val="single" w:sz="8" w:space="0" w:color="000000"/>
              <w:right w:val="single" w:sz="8" w:space="0" w:color="000000"/>
            </w:tcBorders>
            <w:shd w:val="clear" w:color="auto" w:fill="548DD4"/>
            <w:tcMar>
              <w:top w:w="20" w:type="dxa"/>
              <w:left w:w="100" w:type="dxa"/>
              <w:bottom w:w="100" w:type="dxa"/>
              <w:right w:w="100" w:type="dxa"/>
            </w:tcMar>
          </w:tcPr>
          <w:p w14:paraId="6F7B62EC" w14:textId="77777777" w:rsidR="00281246" w:rsidRPr="00E94510" w:rsidRDefault="00743AC7">
            <w:pPr>
              <w:widowControl w:val="0"/>
              <w:spacing w:after="0"/>
              <w:ind w:left="220" w:right="120"/>
              <w:jc w:val="center"/>
              <w:rPr>
                <w:i/>
                <w:color w:val="FFFFFF"/>
                <w:lang w:val="en-GB"/>
              </w:rPr>
            </w:pPr>
            <w:r w:rsidRPr="00E94510">
              <w:rPr>
                <w:i/>
                <w:color w:val="FFFFFF"/>
                <w:lang w:val="en-GB"/>
              </w:rPr>
              <w:t>Work in Fishing Convention (C-188)</w:t>
            </w:r>
          </w:p>
        </w:tc>
        <w:tc>
          <w:tcPr>
            <w:tcW w:w="2562" w:type="dxa"/>
            <w:tcBorders>
              <w:top w:val="single" w:sz="8" w:space="0" w:color="000000"/>
              <w:left w:val="nil"/>
              <w:bottom w:val="single" w:sz="8" w:space="0" w:color="000000"/>
              <w:right w:val="single" w:sz="8" w:space="0" w:color="000000"/>
            </w:tcBorders>
            <w:shd w:val="clear" w:color="auto" w:fill="548DD4"/>
            <w:tcMar>
              <w:top w:w="20" w:type="dxa"/>
              <w:left w:w="100" w:type="dxa"/>
              <w:bottom w:w="100" w:type="dxa"/>
              <w:right w:w="100" w:type="dxa"/>
            </w:tcMar>
          </w:tcPr>
          <w:p w14:paraId="6B8EE61A" w14:textId="77777777" w:rsidR="00281246" w:rsidRPr="00E94510" w:rsidRDefault="00743AC7">
            <w:pPr>
              <w:widowControl w:val="0"/>
              <w:spacing w:after="0"/>
              <w:ind w:left="220" w:right="120"/>
              <w:jc w:val="center"/>
              <w:rPr>
                <w:i/>
                <w:color w:val="FFFFFF"/>
                <w:lang w:val="en-GB"/>
              </w:rPr>
            </w:pPr>
            <w:r w:rsidRPr="00E94510">
              <w:rPr>
                <w:i/>
                <w:color w:val="FFFFFF"/>
                <w:lang w:val="en-GB"/>
              </w:rPr>
              <w:t>Convention on Standards of Training, Certification and Watchkeeping for Fishing Vessel Personnel (STCW-F)</w:t>
            </w:r>
          </w:p>
        </w:tc>
        <w:tc>
          <w:tcPr>
            <w:tcW w:w="1845" w:type="dxa"/>
            <w:tcBorders>
              <w:top w:val="single" w:sz="8" w:space="0" w:color="000000"/>
              <w:left w:val="nil"/>
              <w:bottom w:val="single" w:sz="8" w:space="0" w:color="000000"/>
              <w:right w:val="single" w:sz="8" w:space="0" w:color="000000"/>
            </w:tcBorders>
            <w:shd w:val="clear" w:color="auto" w:fill="548DD4"/>
            <w:tcMar>
              <w:top w:w="100" w:type="dxa"/>
              <w:left w:w="100" w:type="dxa"/>
              <w:bottom w:w="100" w:type="dxa"/>
              <w:right w:w="100" w:type="dxa"/>
            </w:tcMar>
          </w:tcPr>
          <w:p w14:paraId="641E62B6" w14:textId="77777777" w:rsidR="00281246" w:rsidRPr="00E94510" w:rsidRDefault="00743AC7">
            <w:pPr>
              <w:widowControl w:val="0"/>
              <w:spacing w:after="0"/>
              <w:ind w:right="120"/>
              <w:jc w:val="center"/>
              <w:rPr>
                <w:i/>
                <w:color w:val="FFFFFF"/>
                <w:lang w:val="en-GB"/>
              </w:rPr>
            </w:pPr>
            <w:r w:rsidRPr="00E94510">
              <w:rPr>
                <w:i/>
                <w:color w:val="FFFFFF"/>
                <w:lang w:val="en-GB"/>
              </w:rPr>
              <w:t>Torremolinos statement on the Cape Town Agreement 2012</w:t>
            </w:r>
          </w:p>
        </w:tc>
      </w:tr>
      <w:tr w:rsidR="00281246" w:rsidRPr="00E94510" w14:paraId="165DFB8F" w14:textId="77777777" w:rsidTr="002963B1">
        <w:trPr>
          <w:trHeight w:val="605"/>
        </w:trPr>
        <w:tc>
          <w:tcPr>
            <w:tcW w:w="1603" w:type="dxa"/>
            <w:tcBorders>
              <w:top w:val="nil"/>
              <w:left w:val="single" w:sz="8" w:space="0" w:color="000000"/>
              <w:bottom w:val="single" w:sz="8" w:space="0" w:color="000000"/>
              <w:right w:val="single" w:sz="8" w:space="0" w:color="000000"/>
            </w:tcBorders>
            <w:tcMar>
              <w:top w:w="20" w:type="dxa"/>
              <w:left w:w="100" w:type="dxa"/>
              <w:bottom w:w="100" w:type="dxa"/>
              <w:right w:w="100" w:type="dxa"/>
            </w:tcMar>
          </w:tcPr>
          <w:p w14:paraId="19D24CCB" w14:textId="77777777" w:rsidR="00281246" w:rsidRPr="00E94510" w:rsidRDefault="00743AC7">
            <w:pPr>
              <w:widowControl w:val="0"/>
              <w:ind w:left="100"/>
              <w:rPr>
                <w:b/>
                <w:i/>
                <w:color w:val="FFFFFF"/>
                <w:lang w:val="en-GB"/>
              </w:rPr>
            </w:pPr>
            <w:r w:rsidRPr="00E94510">
              <w:rPr>
                <w:b/>
                <w:i/>
                <w:color w:val="FFFFFF"/>
                <w:lang w:val="en-GB"/>
              </w:rPr>
              <w:t>China</w:t>
            </w:r>
          </w:p>
        </w:tc>
        <w:tc>
          <w:tcPr>
            <w:tcW w:w="1559" w:type="dxa"/>
            <w:tcBorders>
              <w:top w:val="nil"/>
              <w:left w:val="nil"/>
              <w:bottom w:val="single" w:sz="8" w:space="0" w:color="000000"/>
              <w:right w:val="single" w:sz="8" w:space="0" w:color="000000"/>
            </w:tcBorders>
            <w:tcMar>
              <w:top w:w="20" w:type="dxa"/>
              <w:left w:w="100" w:type="dxa"/>
              <w:bottom w:w="100" w:type="dxa"/>
              <w:right w:w="100" w:type="dxa"/>
            </w:tcMar>
          </w:tcPr>
          <w:p w14:paraId="33D8C9E9" w14:textId="77777777" w:rsidR="00281246" w:rsidRPr="00E94510" w:rsidRDefault="00743AC7">
            <w:pPr>
              <w:widowControl w:val="0"/>
              <w:ind w:left="100"/>
              <w:jc w:val="center"/>
              <w:rPr>
                <w:b/>
                <w:i/>
                <w:color w:val="FFFFFF"/>
                <w:lang w:val="en-GB"/>
              </w:rPr>
            </w:pPr>
            <w:r w:rsidRPr="00E94510">
              <w:rPr>
                <w:b/>
                <w:i/>
                <w:color w:val="FFFFFF"/>
                <w:lang w:val="en-GB"/>
              </w:rPr>
              <w:t>X</w:t>
            </w:r>
          </w:p>
        </w:tc>
        <w:tc>
          <w:tcPr>
            <w:tcW w:w="1701" w:type="dxa"/>
            <w:tcBorders>
              <w:top w:val="nil"/>
              <w:left w:val="nil"/>
              <w:bottom w:val="single" w:sz="8" w:space="0" w:color="000000"/>
              <w:right w:val="single" w:sz="8" w:space="0" w:color="000000"/>
            </w:tcBorders>
            <w:tcMar>
              <w:top w:w="20" w:type="dxa"/>
              <w:left w:w="100" w:type="dxa"/>
              <w:bottom w:w="100" w:type="dxa"/>
              <w:right w:w="100" w:type="dxa"/>
            </w:tcMar>
          </w:tcPr>
          <w:p w14:paraId="1EC6B209" w14:textId="77777777" w:rsidR="00281246" w:rsidRPr="00E94510" w:rsidRDefault="00743AC7">
            <w:pPr>
              <w:widowControl w:val="0"/>
              <w:ind w:left="100"/>
              <w:jc w:val="center"/>
              <w:rPr>
                <w:b/>
                <w:i/>
                <w:color w:val="FFFFFF"/>
                <w:lang w:val="en-GB"/>
              </w:rPr>
            </w:pPr>
            <w:r w:rsidRPr="00E94510">
              <w:rPr>
                <w:b/>
                <w:i/>
                <w:color w:val="FFFFFF"/>
                <w:lang w:val="en-GB"/>
              </w:rPr>
              <w:t>-</w:t>
            </w:r>
          </w:p>
        </w:tc>
        <w:tc>
          <w:tcPr>
            <w:tcW w:w="2562" w:type="dxa"/>
            <w:tcBorders>
              <w:top w:val="nil"/>
              <w:left w:val="nil"/>
              <w:bottom w:val="single" w:sz="8" w:space="0" w:color="000000"/>
              <w:right w:val="single" w:sz="8" w:space="0" w:color="000000"/>
            </w:tcBorders>
            <w:tcMar>
              <w:top w:w="20" w:type="dxa"/>
              <w:left w:w="100" w:type="dxa"/>
              <w:bottom w:w="100" w:type="dxa"/>
              <w:right w:w="100" w:type="dxa"/>
            </w:tcMar>
          </w:tcPr>
          <w:p w14:paraId="47A8B433" w14:textId="77777777" w:rsidR="00281246" w:rsidRPr="00E94510" w:rsidRDefault="00743AC7">
            <w:pPr>
              <w:widowControl w:val="0"/>
              <w:ind w:left="100"/>
              <w:jc w:val="center"/>
              <w:rPr>
                <w:b/>
                <w:i/>
                <w:color w:val="FFFFFF"/>
                <w:lang w:val="en-GB"/>
              </w:rPr>
            </w:pPr>
            <w:r w:rsidRPr="00E94510">
              <w:rPr>
                <w:b/>
                <w:i/>
                <w:color w:val="FFFFFF"/>
                <w:lang w:val="en-GB"/>
              </w:rPr>
              <w:t>-</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2E15D375" w14:textId="670B2653" w:rsidR="00281246" w:rsidRPr="00E94510" w:rsidRDefault="00CD08F1">
            <w:pPr>
              <w:widowControl w:val="0"/>
              <w:ind w:left="100"/>
              <w:jc w:val="center"/>
              <w:rPr>
                <w:b/>
                <w:i/>
                <w:color w:val="00B050"/>
                <w:lang w:val="en-GB"/>
              </w:rPr>
            </w:pPr>
            <w:r w:rsidRPr="00E94510">
              <w:rPr>
                <w:b/>
                <w:i/>
                <w:color w:val="FFFFFF"/>
                <w:lang w:val="en-GB"/>
              </w:rPr>
              <w:t>-</w:t>
            </w:r>
            <w:r w:rsidR="00743AC7" w:rsidRPr="00E94510">
              <w:rPr>
                <w:b/>
                <w:i/>
                <w:color w:val="00B050"/>
                <w:lang w:val="en-GB"/>
              </w:rPr>
              <w:t xml:space="preserve"> </w:t>
            </w:r>
          </w:p>
        </w:tc>
      </w:tr>
      <w:tr w:rsidR="00281246" w:rsidRPr="00E94510" w14:paraId="4667556B" w14:textId="77777777" w:rsidTr="002963B1">
        <w:trPr>
          <w:trHeight w:val="605"/>
        </w:trPr>
        <w:tc>
          <w:tcPr>
            <w:tcW w:w="1603" w:type="dxa"/>
            <w:tcBorders>
              <w:top w:val="nil"/>
              <w:left w:val="single" w:sz="8" w:space="0" w:color="000000"/>
              <w:bottom w:val="single" w:sz="8" w:space="0" w:color="000000"/>
              <w:right w:val="single" w:sz="8" w:space="0" w:color="000000"/>
            </w:tcBorders>
            <w:tcMar>
              <w:top w:w="20" w:type="dxa"/>
              <w:left w:w="100" w:type="dxa"/>
              <w:bottom w:w="100" w:type="dxa"/>
              <w:right w:w="100" w:type="dxa"/>
            </w:tcMar>
          </w:tcPr>
          <w:p w14:paraId="2E885E70" w14:textId="77777777" w:rsidR="00281246" w:rsidRPr="00E94510" w:rsidRDefault="00743AC7">
            <w:pPr>
              <w:widowControl w:val="0"/>
              <w:ind w:left="100"/>
              <w:rPr>
                <w:b/>
                <w:i/>
                <w:color w:val="FFFFFF"/>
                <w:lang w:val="en-GB"/>
              </w:rPr>
            </w:pPr>
            <w:r w:rsidRPr="00E94510">
              <w:rPr>
                <w:b/>
                <w:i/>
                <w:color w:val="FFFFFF"/>
                <w:lang w:val="en-GB"/>
              </w:rPr>
              <w:t>Indonesia</w:t>
            </w:r>
          </w:p>
        </w:tc>
        <w:tc>
          <w:tcPr>
            <w:tcW w:w="1559" w:type="dxa"/>
            <w:tcBorders>
              <w:top w:val="nil"/>
              <w:left w:val="nil"/>
              <w:bottom w:val="single" w:sz="8" w:space="0" w:color="000000"/>
              <w:right w:val="single" w:sz="8" w:space="0" w:color="000000"/>
            </w:tcBorders>
            <w:tcMar>
              <w:top w:w="20" w:type="dxa"/>
              <w:left w:w="100" w:type="dxa"/>
              <w:bottom w:w="100" w:type="dxa"/>
              <w:right w:w="100" w:type="dxa"/>
            </w:tcMar>
          </w:tcPr>
          <w:p w14:paraId="409BBF16" w14:textId="77777777" w:rsidR="00281246" w:rsidRPr="00E94510" w:rsidRDefault="00743AC7">
            <w:pPr>
              <w:widowControl w:val="0"/>
              <w:ind w:left="100"/>
              <w:jc w:val="center"/>
              <w:rPr>
                <w:b/>
                <w:i/>
                <w:color w:val="FFFFFF"/>
                <w:lang w:val="en-GB"/>
              </w:rPr>
            </w:pPr>
            <w:r w:rsidRPr="00E94510">
              <w:rPr>
                <w:b/>
                <w:i/>
                <w:color w:val="FFFFFF"/>
                <w:lang w:val="en-GB"/>
              </w:rPr>
              <w:t>X</w:t>
            </w:r>
          </w:p>
        </w:tc>
        <w:tc>
          <w:tcPr>
            <w:tcW w:w="1701" w:type="dxa"/>
            <w:tcBorders>
              <w:top w:val="nil"/>
              <w:left w:val="nil"/>
              <w:bottom w:val="single" w:sz="8" w:space="0" w:color="000000"/>
              <w:right w:val="single" w:sz="8" w:space="0" w:color="000000"/>
            </w:tcBorders>
            <w:tcMar>
              <w:top w:w="20" w:type="dxa"/>
              <w:left w:w="100" w:type="dxa"/>
              <w:bottom w:w="100" w:type="dxa"/>
              <w:right w:w="100" w:type="dxa"/>
            </w:tcMar>
          </w:tcPr>
          <w:p w14:paraId="31FE8503" w14:textId="77777777" w:rsidR="00281246" w:rsidRPr="00E94510" w:rsidRDefault="00743AC7">
            <w:pPr>
              <w:widowControl w:val="0"/>
              <w:ind w:left="100"/>
              <w:jc w:val="center"/>
              <w:rPr>
                <w:b/>
                <w:i/>
                <w:color w:val="FFFFFF"/>
                <w:lang w:val="en-GB"/>
              </w:rPr>
            </w:pPr>
            <w:r w:rsidRPr="00E94510">
              <w:rPr>
                <w:b/>
                <w:i/>
                <w:color w:val="FFFFFF"/>
                <w:lang w:val="en-GB"/>
              </w:rPr>
              <w:t>-</w:t>
            </w:r>
          </w:p>
        </w:tc>
        <w:tc>
          <w:tcPr>
            <w:tcW w:w="2562" w:type="dxa"/>
            <w:tcBorders>
              <w:top w:val="nil"/>
              <w:left w:val="nil"/>
              <w:bottom w:val="single" w:sz="8" w:space="0" w:color="000000"/>
              <w:right w:val="single" w:sz="8" w:space="0" w:color="000000"/>
            </w:tcBorders>
            <w:tcMar>
              <w:top w:w="20" w:type="dxa"/>
              <w:left w:w="100" w:type="dxa"/>
              <w:bottom w:w="100" w:type="dxa"/>
              <w:right w:w="100" w:type="dxa"/>
            </w:tcMar>
          </w:tcPr>
          <w:p w14:paraId="0C418BA6" w14:textId="77777777" w:rsidR="00281246" w:rsidRPr="00E94510" w:rsidRDefault="00743AC7">
            <w:pPr>
              <w:widowControl w:val="0"/>
              <w:ind w:left="100"/>
              <w:jc w:val="center"/>
              <w:rPr>
                <w:b/>
                <w:i/>
                <w:color w:val="FFFFFF"/>
                <w:lang w:val="en-GB"/>
              </w:rPr>
            </w:pPr>
            <w:r w:rsidRPr="00E94510">
              <w:rPr>
                <w:b/>
                <w:i/>
                <w:color w:val="FFFFFF"/>
                <w:lang w:val="en-GB"/>
              </w:rPr>
              <w:t>X</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499724B0" w14:textId="31CA33CA" w:rsidR="00281246" w:rsidRPr="00E94510" w:rsidRDefault="00CD08F1">
            <w:pPr>
              <w:widowControl w:val="0"/>
              <w:ind w:left="100"/>
              <w:jc w:val="center"/>
              <w:rPr>
                <w:b/>
                <w:i/>
                <w:color w:val="00B050"/>
                <w:lang w:val="en-GB"/>
              </w:rPr>
            </w:pPr>
            <w:r w:rsidRPr="00E94510">
              <w:rPr>
                <w:b/>
                <w:i/>
                <w:color w:val="FFFFFF"/>
                <w:lang w:val="en-GB"/>
              </w:rPr>
              <w:t>-</w:t>
            </w:r>
            <w:r w:rsidR="00743AC7" w:rsidRPr="00E94510">
              <w:rPr>
                <w:b/>
                <w:i/>
                <w:color w:val="00B050"/>
                <w:lang w:val="en-GB"/>
              </w:rPr>
              <w:t xml:space="preserve"> </w:t>
            </w:r>
          </w:p>
        </w:tc>
      </w:tr>
      <w:tr w:rsidR="00281246" w:rsidRPr="00E94510" w14:paraId="01C2E070" w14:textId="77777777" w:rsidTr="002963B1">
        <w:trPr>
          <w:trHeight w:val="605"/>
        </w:trPr>
        <w:tc>
          <w:tcPr>
            <w:tcW w:w="1603" w:type="dxa"/>
            <w:tcBorders>
              <w:top w:val="nil"/>
              <w:left w:val="single" w:sz="8" w:space="0" w:color="000000"/>
              <w:bottom w:val="single" w:sz="8" w:space="0" w:color="000000"/>
              <w:right w:val="single" w:sz="8" w:space="0" w:color="000000"/>
            </w:tcBorders>
            <w:tcMar>
              <w:top w:w="20" w:type="dxa"/>
              <w:left w:w="100" w:type="dxa"/>
              <w:bottom w:w="100" w:type="dxa"/>
              <w:right w:w="100" w:type="dxa"/>
            </w:tcMar>
          </w:tcPr>
          <w:p w14:paraId="0544CFC7" w14:textId="77777777" w:rsidR="00281246" w:rsidRPr="00E94510" w:rsidRDefault="00743AC7">
            <w:pPr>
              <w:widowControl w:val="0"/>
              <w:ind w:left="100"/>
              <w:rPr>
                <w:b/>
                <w:i/>
                <w:color w:val="FFFFFF"/>
                <w:lang w:val="en-GB"/>
              </w:rPr>
            </w:pPr>
            <w:r w:rsidRPr="00E94510">
              <w:rPr>
                <w:b/>
                <w:i/>
                <w:color w:val="FFFFFF"/>
                <w:lang w:val="en-GB"/>
              </w:rPr>
              <w:t>India</w:t>
            </w:r>
          </w:p>
        </w:tc>
        <w:tc>
          <w:tcPr>
            <w:tcW w:w="1559" w:type="dxa"/>
            <w:tcBorders>
              <w:top w:val="nil"/>
              <w:left w:val="nil"/>
              <w:bottom w:val="single" w:sz="8" w:space="0" w:color="000000"/>
              <w:right w:val="single" w:sz="8" w:space="0" w:color="000000"/>
            </w:tcBorders>
            <w:tcMar>
              <w:top w:w="20" w:type="dxa"/>
              <w:left w:w="100" w:type="dxa"/>
              <w:bottom w:w="100" w:type="dxa"/>
              <w:right w:w="100" w:type="dxa"/>
            </w:tcMar>
          </w:tcPr>
          <w:p w14:paraId="3BE3B9F8" w14:textId="77777777" w:rsidR="00281246" w:rsidRPr="00E94510" w:rsidRDefault="00743AC7">
            <w:pPr>
              <w:widowControl w:val="0"/>
              <w:ind w:left="100"/>
              <w:jc w:val="center"/>
              <w:rPr>
                <w:b/>
                <w:i/>
                <w:color w:val="FFFFFF"/>
                <w:lang w:val="en-GB"/>
              </w:rPr>
            </w:pPr>
            <w:r w:rsidRPr="00E94510">
              <w:rPr>
                <w:b/>
                <w:i/>
                <w:color w:val="FFFFFF"/>
                <w:lang w:val="en-GB"/>
              </w:rPr>
              <w:t>X</w:t>
            </w:r>
          </w:p>
        </w:tc>
        <w:tc>
          <w:tcPr>
            <w:tcW w:w="1701" w:type="dxa"/>
            <w:tcBorders>
              <w:top w:val="nil"/>
              <w:left w:val="nil"/>
              <w:bottom w:val="single" w:sz="8" w:space="0" w:color="000000"/>
              <w:right w:val="single" w:sz="8" w:space="0" w:color="000000"/>
            </w:tcBorders>
            <w:tcMar>
              <w:top w:w="20" w:type="dxa"/>
              <w:left w:w="100" w:type="dxa"/>
              <w:bottom w:w="100" w:type="dxa"/>
              <w:right w:w="100" w:type="dxa"/>
            </w:tcMar>
          </w:tcPr>
          <w:p w14:paraId="2A622D2C" w14:textId="77777777" w:rsidR="00281246" w:rsidRPr="00E94510" w:rsidRDefault="00743AC7">
            <w:pPr>
              <w:widowControl w:val="0"/>
              <w:ind w:left="100"/>
              <w:jc w:val="center"/>
              <w:rPr>
                <w:b/>
                <w:i/>
                <w:color w:val="FFFFFF"/>
                <w:lang w:val="en-GB"/>
              </w:rPr>
            </w:pPr>
            <w:r w:rsidRPr="00E94510">
              <w:rPr>
                <w:b/>
                <w:i/>
                <w:color w:val="FFFFFF"/>
                <w:lang w:val="en-GB"/>
              </w:rPr>
              <w:t>-</w:t>
            </w:r>
          </w:p>
        </w:tc>
        <w:tc>
          <w:tcPr>
            <w:tcW w:w="2562" w:type="dxa"/>
            <w:tcBorders>
              <w:top w:val="nil"/>
              <w:left w:val="nil"/>
              <w:bottom w:val="single" w:sz="8" w:space="0" w:color="000000"/>
              <w:right w:val="single" w:sz="8" w:space="0" w:color="000000"/>
            </w:tcBorders>
            <w:tcMar>
              <w:top w:w="20" w:type="dxa"/>
              <w:left w:w="100" w:type="dxa"/>
              <w:bottom w:w="100" w:type="dxa"/>
              <w:right w:w="100" w:type="dxa"/>
            </w:tcMar>
          </w:tcPr>
          <w:p w14:paraId="136BAECE" w14:textId="77777777" w:rsidR="00281246" w:rsidRPr="00E94510" w:rsidRDefault="00743AC7">
            <w:pPr>
              <w:widowControl w:val="0"/>
              <w:ind w:left="100"/>
              <w:jc w:val="center"/>
              <w:rPr>
                <w:b/>
                <w:i/>
                <w:color w:val="FFFFFF"/>
                <w:lang w:val="en-GB"/>
              </w:rPr>
            </w:pPr>
            <w:r w:rsidRPr="00E94510">
              <w:rPr>
                <w:b/>
                <w:i/>
                <w:color w:val="FFFFFF"/>
                <w:lang w:val="en-GB"/>
              </w:rPr>
              <w:t>-</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251DC2B2" w14:textId="3531ACF7" w:rsidR="00281246" w:rsidRPr="00E94510" w:rsidRDefault="00CD08F1">
            <w:pPr>
              <w:widowControl w:val="0"/>
              <w:ind w:left="100"/>
              <w:jc w:val="center"/>
              <w:rPr>
                <w:b/>
                <w:i/>
                <w:color w:val="00B050"/>
                <w:lang w:val="en-GB"/>
              </w:rPr>
            </w:pPr>
            <w:r w:rsidRPr="00E94510">
              <w:rPr>
                <w:b/>
                <w:i/>
                <w:color w:val="FFFFFF"/>
                <w:lang w:val="en-GB"/>
              </w:rPr>
              <w:t>-</w:t>
            </w:r>
            <w:r w:rsidR="00743AC7" w:rsidRPr="00E94510">
              <w:rPr>
                <w:b/>
                <w:i/>
                <w:color w:val="00B050"/>
                <w:lang w:val="en-GB"/>
              </w:rPr>
              <w:t xml:space="preserve"> </w:t>
            </w:r>
          </w:p>
        </w:tc>
      </w:tr>
      <w:tr w:rsidR="00281246" w:rsidRPr="00E94510" w14:paraId="051ED0FD" w14:textId="77777777" w:rsidTr="002963B1">
        <w:trPr>
          <w:trHeight w:val="605"/>
        </w:trPr>
        <w:tc>
          <w:tcPr>
            <w:tcW w:w="1603" w:type="dxa"/>
            <w:tcBorders>
              <w:top w:val="nil"/>
              <w:left w:val="single" w:sz="8" w:space="0" w:color="000000"/>
              <w:bottom w:val="single" w:sz="8" w:space="0" w:color="000000"/>
              <w:right w:val="single" w:sz="8" w:space="0" w:color="000000"/>
            </w:tcBorders>
            <w:tcMar>
              <w:top w:w="20" w:type="dxa"/>
              <w:left w:w="100" w:type="dxa"/>
              <w:bottom w:w="100" w:type="dxa"/>
              <w:right w:w="100" w:type="dxa"/>
            </w:tcMar>
          </w:tcPr>
          <w:p w14:paraId="2C28DDE3" w14:textId="77777777" w:rsidR="00281246" w:rsidRPr="00E94510" w:rsidRDefault="00743AC7">
            <w:pPr>
              <w:widowControl w:val="0"/>
              <w:ind w:left="100"/>
              <w:rPr>
                <w:b/>
                <w:i/>
                <w:color w:val="FFFFFF"/>
                <w:lang w:val="en-GB"/>
              </w:rPr>
            </w:pPr>
            <w:r w:rsidRPr="00E94510">
              <w:rPr>
                <w:b/>
                <w:i/>
                <w:color w:val="FFFFFF"/>
                <w:lang w:val="en-GB"/>
              </w:rPr>
              <w:t>Vietnam</w:t>
            </w:r>
          </w:p>
        </w:tc>
        <w:tc>
          <w:tcPr>
            <w:tcW w:w="1559" w:type="dxa"/>
            <w:tcBorders>
              <w:top w:val="nil"/>
              <w:left w:val="nil"/>
              <w:bottom w:val="single" w:sz="8" w:space="0" w:color="000000"/>
              <w:right w:val="single" w:sz="8" w:space="0" w:color="000000"/>
            </w:tcBorders>
            <w:tcMar>
              <w:top w:w="20" w:type="dxa"/>
              <w:left w:w="100" w:type="dxa"/>
              <w:bottom w:w="100" w:type="dxa"/>
              <w:right w:w="100" w:type="dxa"/>
            </w:tcMar>
          </w:tcPr>
          <w:p w14:paraId="36D525F5" w14:textId="77777777" w:rsidR="00281246" w:rsidRPr="00E94510" w:rsidRDefault="00743AC7">
            <w:pPr>
              <w:widowControl w:val="0"/>
              <w:ind w:left="100"/>
              <w:jc w:val="center"/>
              <w:rPr>
                <w:b/>
                <w:i/>
                <w:color w:val="FFFFFF"/>
                <w:lang w:val="en-GB"/>
              </w:rPr>
            </w:pPr>
            <w:r w:rsidRPr="00E94510">
              <w:rPr>
                <w:b/>
                <w:i/>
                <w:color w:val="FFFFFF"/>
                <w:lang w:val="en-GB"/>
              </w:rPr>
              <w:t>X</w:t>
            </w:r>
          </w:p>
        </w:tc>
        <w:tc>
          <w:tcPr>
            <w:tcW w:w="1701" w:type="dxa"/>
            <w:tcBorders>
              <w:top w:val="nil"/>
              <w:left w:val="nil"/>
              <w:bottom w:val="single" w:sz="8" w:space="0" w:color="000000"/>
              <w:right w:val="single" w:sz="8" w:space="0" w:color="000000"/>
            </w:tcBorders>
            <w:tcMar>
              <w:top w:w="20" w:type="dxa"/>
              <w:left w:w="100" w:type="dxa"/>
              <w:bottom w:w="100" w:type="dxa"/>
              <w:right w:w="100" w:type="dxa"/>
            </w:tcMar>
          </w:tcPr>
          <w:p w14:paraId="2A1E0657" w14:textId="77777777" w:rsidR="00281246" w:rsidRPr="00E94510" w:rsidRDefault="00743AC7">
            <w:pPr>
              <w:widowControl w:val="0"/>
              <w:ind w:left="100"/>
              <w:jc w:val="center"/>
              <w:rPr>
                <w:b/>
                <w:i/>
                <w:color w:val="FFFFFF"/>
                <w:lang w:val="en-GB"/>
              </w:rPr>
            </w:pPr>
            <w:r w:rsidRPr="00E94510">
              <w:rPr>
                <w:b/>
                <w:i/>
                <w:color w:val="FFFFFF"/>
                <w:lang w:val="en-GB"/>
              </w:rPr>
              <w:t>-</w:t>
            </w:r>
          </w:p>
        </w:tc>
        <w:tc>
          <w:tcPr>
            <w:tcW w:w="2562" w:type="dxa"/>
            <w:tcBorders>
              <w:top w:val="nil"/>
              <w:left w:val="nil"/>
              <w:bottom w:val="single" w:sz="8" w:space="0" w:color="000000"/>
              <w:right w:val="single" w:sz="8" w:space="0" w:color="000000"/>
            </w:tcBorders>
            <w:tcMar>
              <w:top w:w="20" w:type="dxa"/>
              <w:left w:w="100" w:type="dxa"/>
              <w:bottom w:w="100" w:type="dxa"/>
              <w:right w:w="100" w:type="dxa"/>
            </w:tcMar>
          </w:tcPr>
          <w:p w14:paraId="5CE60561" w14:textId="77777777" w:rsidR="00281246" w:rsidRPr="00E94510" w:rsidRDefault="00743AC7">
            <w:pPr>
              <w:widowControl w:val="0"/>
              <w:ind w:left="100"/>
              <w:jc w:val="center"/>
              <w:rPr>
                <w:b/>
                <w:i/>
                <w:color w:val="FFFFFF"/>
                <w:lang w:val="en-GB"/>
              </w:rPr>
            </w:pPr>
            <w:r w:rsidRPr="00E94510">
              <w:rPr>
                <w:b/>
                <w:i/>
                <w:color w:val="FFFFFF"/>
                <w:lang w:val="en-GB"/>
              </w:rPr>
              <w:t>-</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7F6948E7" w14:textId="18979C0E" w:rsidR="00281246" w:rsidRPr="00E94510" w:rsidRDefault="00CD08F1">
            <w:pPr>
              <w:widowControl w:val="0"/>
              <w:ind w:left="100"/>
              <w:jc w:val="center"/>
              <w:rPr>
                <w:b/>
                <w:i/>
                <w:color w:val="00B050"/>
                <w:lang w:val="en-GB"/>
              </w:rPr>
            </w:pPr>
            <w:r w:rsidRPr="00E94510">
              <w:rPr>
                <w:b/>
                <w:i/>
                <w:color w:val="FFFFFF"/>
                <w:lang w:val="en-GB"/>
              </w:rPr>
              <w:t>-</w:t>
            </w:r>
            <w:r w:rsidRPr="00E94510">
              <w:rPr>
                <w:b/>
                <w:i/>
                <w:color w:val="00B050"/>
                <w:lang w:val="en-GB"/>
              </w:rPr>
              <w:t xml:space="preserve"> </w:t>
            </w:r>
            <w:r w:rsidR="00743AC7" w:rsidRPr="00E94510">
              <w:rPr>
                <w:b/>
                <w:i/>
                <w:color w:val="00B050"/>
                <w:lang w:val="en-GB"/>
              </w:rPr>
              <w:t xml:space="preserve"> </w:t>
            </w:r>
          </w:p>
        </w:tc>
      </w:tr>
      <w:tr w:rsidR="00281246" w:rsidRPr="00E94510" w14:paraId="52474100" w14:textId="77777777" w:rsidTr="002963B1">
        <w:trPr>
          <w:trHeight w:val="703"/>
        </w:trPr>
        <w:tc>
          <w:tcPr>
            <w:tcW w:w="1603" w:type="dxa"/>
            <w:tcBorders>
              <w:top w:val="nil"/>
              <w:left w:val="single" w:sz="8" w:space="0" w:color="000000"/>
              <w:bottom w:val="single" w:sz="8" w:space="0" w:color="000000"/>
              <w:right w:val="single" w:sz="8" w:space="0" w:color="000000"/>
            </w:tcBorders>
            <w:tcMar>
              <w:top w:w="20" w:type="dxa"/>
              <w:left w:w="100" w:type="dxa"/>
              <w:bottom w:w="100" w:type="dxa"/>
              <w:right w:w="100" w:type="dxa"/>
            </w:tcMar>
          </w:tcPr>
          <w:p w14:paraId="0A44322F" w14:textId="77777777" w:rsidR="00281246" w:rsidRPr="00E94510" w:rsidRDefault="00743AC7">
            <w:pPr>
              <w:widowControl w:val="0"/>
              <w:ind w:left="100"/>
              <w:rPr>
                <w:b/>
                <w:i/>
                <w:color w:val="FFFFFF"/>
                <w:lang w:val="en-GB"/>
              </w:rPr>
            </w:pPr>
            <w:r w:rsidRPr="00E94510">
              <w:rPr>
                <w:b/>
                <w:i/>
                <w:color w:val="FFFFFF"/>
                <w:lang w:val="en-GB"/>
              </w:rPr>
              <w:t>EU-27</w:t>
            </w:r>
          </w:p>
        </w:tc>
        <w:tc>
          <w:tcPr>
            <w:tcW w:w="1559" w:type="dxa"/>
            <w:tcBorders>
              <w:top w:val="nil"/>
              <w:left w:val="nil"/>
              <w:bottom w:val="single" w:sz="8" w:space="0" w:color="000000"/>
              <w:right w:val="single" w:sz="8" w:space="0" w:color="000000"/>
            </w:tcBorders>
            <w:tcMar>
              <w:top w:w="20" w:type="dxa"/>
              <w:left w:w="100" w:type="dxa"/>
              <w:bottom w:w="100" w:type="dxa"/>
              <w:right w:w="100" w:type="dxa"/>
            </w:tcMar>
          </w:tcPr>
          <w:p w14:paraId="7545F85B" w14:textId="77777777" w:rsidR="00281246" w:rsidRPr="00E94510" w:rsidRDefault="00743AC7">
            <w:pPr>
              <w:widowControl w:val="0"/>
              <w:ind w:left="100"/>
              <w:jc w:val="center"/>
              <w:rPr>
                <w:b/>
                <w:i/>
                <w:color w:val="FFFFFF"/>
                <w:vertAlign w:val="superscript"/>
                <w:lang w:val="en-GB"/>
              </w:rPr>
            </w:pPr>
            <w:r w:rsidRPr="00E94510">
              <w:rPr>
                <w:b/>
                <w:i/>
                <w:color w:val="FFFFFF"/>
                <w:vertAlign w:val="superscript"/>
                <w:lang w:val="en-GB"/>
              </w:rPr>
              <w:footnoteReference w:id="116"/>
            </w:r>
            <w:r w:rsidRPr="00E94510">
              <w:rPr>
                <w:b/>
                <w:i/>
                <w:color w:val="FFFFFF"/>
                <w:lang w:val="en-GB"/>
              </w:rPr>
              <w:t xml:space="preserve">- </w:t>
            </w:r>
          </w:p>
          <w:p w14:paraId="1855BF9C" w14:textId="77777777" w:rsidR="00281246" w:rsidRPr="00E94510" w:rsidRDefault="00281246">
            <w:pPr>
              <w:widowControl w:val="0"/>
              <w:ind w:left="100"/>
              <w:jc w:val="center"/>
              <w:rPr>
                <w:b/>
                <w:i/>
                <w:color w:val="FFFFFF"/>
                <w:vertAlign w:val="superscript"/>
                <w:lang w:val="en-GB"/>
              </w:rPr>
            </w:pPr>
          </w:p>
        </w:tc>
        <w:tc>
          <w:tcPr>
            <w:tcW w:w="1701" w:type="dxa"/>
            <w:tcBorders>
              <w:top w:val="nil"/>
              <w:left w:val="nil"/>
              <w:bottom w:val="single" w:sz="8" w:space="0" w:color="000000"/>
              <w:right w:val="single" w:sz="8" w:space="0" w:color="000000"/>
            </w:tcBorders>
            <w:tcMar>
              <w:top w:w="20" w:type="dxa"/>
              <w:left w:w="100" w:type="dxa"/>
              <w:bottom w:w="100" w:type="dxa"/>
              <w:right w:w="100" w:type="dxa"/>
            </w:tcMar>
          </w:tcPr>
          <w:p w14:paraId="2CA48396" w14:textId="77777777" w:rsidR="00281246" w:rsidRPr="00E94510" w:rsidRDefault="00743AC7">
            <w:pPr>
              <w:widowControl w:val="0"/>
              <w:ind w:left="100"/>
              <w:jc w:val="center"/>
              <w:rPr>
                <w:b/>
                <w:i/>
                <w:color w:val="FFFFFF"/>
                <w:vertAlign w:val="superscript"/>
                <w:lang w:val="en-GB"/>
              </w:rPr>
            </w:pPr>
            <w:r w:rsidRPr="00E94510">
              <w:rPr>
                <w:b/>
                <w:i/>
                <w:color w:val="FFFFFF"/>
                <w:lang w:val="en-GB"/>
              </w:rPr>
              <w:t>X</w:t>
            </w:r>
            <w:r w:rsidRPr="00E94510">
              <w:rPr>
                <w:b/>
                <w:i/>
                <w:color w:val="FFFFFF"/>
                <w:vertAlign w:val="superscript"/>
                <w:lang w:val="en-GB"/>
              </w:rPr>
              <w:footnoteReference w:id="117"/>
            </w:r>
          </w:p>
        </w:tc>
        <w:tc>
          <w:tcPr>
            <w:tcW w:w="2562" w:type="dxa"/>
            <w:tcBorders>
              <w:top w:val="nil"/>
              <w:left w:val="nil"/>
              <w:bottom w:val="single" w:sz="8" w:space="0" w:color="000000"/>
              <w:right w:val="single" w:sz="8" w:space="0" w:color="000000"/>
            </w:tcBorders>
            <w:tcMar>
              <w:top w:w="20" w:type="dxa"/>
              <w:left w:w="100" w:type="dxa"/>
              <w:bottom w:w="100" w:type="dxa"/>
              <w:right w:w="100" w:type="dxa"/>
            </w:tcMar>
          </w:tcPr>
          <w:p w14:paraId="3E58E902" w14:textId="77777777" w:rsidR="00281246" w:rsidRPr="00E94510" w:rsidRDefault="00743AC7">
            <w:pPr>
              <w:widowControl w:val="0"/>
              <w:ind w:left="100"/>
              <w:jc w:val="center"/>
              <w:rPr>
                <w:b/>
                <w:i/>
                <w:color w:val="FFFFFF"/>
                <w:vertAlign w:val="superscript"/>
                <w:lang w:val="en-GB"/>
              </w:rPr>
            </w:pPr>
            <w:r w:rsidRPr="00E94510">
              <w:rPr>
                <w:b/>
                <w:i/>
                <w:color w:val="FFFFFF"/>
                <w:lang w:val="en-GB"/>
              </w:rPr>
              <w:t xml:space="preserve">- </w:t>
            </w:r>
            <w:r w:rsidRPr="00E94510">
              <w:rPr>
                <w:b/>
                <w:i/>
                <w:color w:val="FFFFFF"/>
                <w:vertAlign w:val="superscript"/>
                <w:lang w:val="en-GB"/>
              </w:rPr>
              <w:footnoteReference w:id="118"/>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73EFD18F" w14:textId="77777777" w:rsidR="00281246" w:rsidRPr="00E94510" w:rsidRDefault="00743AC7">
            <w:pPr>
              <w:widowControl w:val="0"/>
              <w:ind w:left="100"/>
              <w:jc w:val="center"/>
              <w:rPr>
                <w:b/>
                <w:i/>
                <w:color w:val="FFFFFF"/>
                <w:lang w:val="en-GB"/>
              </w:rPr>
            </w:pPr>
            <w:r w:rsidRPr="00E94510">
              <w:rPr>
                <w:b/>
                <w:i/>
                <w:color w:val="FFFFFF"/>
                <w:lang w:val="en-GB"/>
              </w:rPr>
              <w:t>x</w:t>
            </w:r>
            <w:r w:rsidRPr="00E94510">
              <w:rPr>
                <w:b/>
                <w:i/>
                <w:color w:val="FFFFFF"/>
                <w:vertAlign w:val="superscript"/>
                <w:lang w:val="en-GB"/>
              </w:rPr>
              <w:footnoteReference w:id="119"/>
            </w:r>
          </w:p>
        </w:tc>
      </w:tr>
      <w:tr w:rsidR="00281246" w:rsidRPr="00E94510" w14:paraId="63A02EF6" w14:textId="77777777" w:rsidTr="002963B1">
        <w:trPr>
          <w:trHeight w:val="605"/>
        </w:trPr>
        <w:tc>
          <w:tcPr>
            <w:tcW w:w="1603" w:type="dxa"/>
            <w:tcBorders>
              <w:top w:val="nil"/>
              <w:left w:val="single" w:sz="8" w:space="0" w:color="000000"/>
              <w:bottom w:val="single" w:sz="8" w:space="0" w:color="000000"/>
              <w:right w:val="single" w:sz="8" w:space="0" w:color="000000"/>
            </w:tcBorders>
            <w:tcMar>
              <w:top w:w="20" w:type="dxa"/>
              <w:left w:w="100" w:type="dxa"/>
              <w:bottom w:w="100" w:type="dxa"/>
              <w:right w:w="100" w:type="dxa"/>
            </w:tcMar>
          </w:tcPr>
          <w:p w14:paraId="12958621" w14:textId="77777777" w:rsidR="00281246" w:rsidRPr="00E94510" w:rsidRDefault="00743AC7">
            <w:pPr>
              <w:widowControl w:val="0"/>
              <w:ind w:left="100"/>
              <w:rPr>
                <w:b/>
                <w:i/>
                <w:color w:val="FFFFFF"/>
                <w:lang w:val="en-GB"/>
              </w:rPr>
            </w:pPr>
            <w:r w:rsidRPr="00E94510">
              <w:rPr>
                <w:b/>
                <w:i/>
                <w:color w:val="FFFFFF"/>
                <w:lang w:val="en-GB"/>
              </w:rPr>
              <w:t>USA</w:t>
            </w:r>
          </w:p>
        </w:tc>
        <w:tc>
          <w:tcPr>
            <w:tcW w:w="1559" w:type="dxa"/>
            <w:tcBorders>
              <w:top w:val="nil"/>
              <w:left w:val="nil"/>
              <w:bottom w:val="single" w:sz="8" w:space="0" w:color="000000"/>
              <w:right w:val="single" w:sz="8" w:space="0" w:color="000000"/>
            </w:tcBorders>
            <w:tcMar>
              <w:top w:w="20" w:type="dxa"/>
              <w:left w:w="100" w:type="dxa"/>
              <w:bottom w:w="100" w:type="dxa"/>
              <w:right w:w="100" w:type="dxa"/>
            </w:tcMar>
          </w:tcPr>
          <w:p w14:paraId="0D474D66" w14:textId="77777777" w:rsidR="00281246" w:rsidRPr="00E94510" w:rsidRDefault="00743AC7">
            <w:pPr>
              <w:widowControl w:val="0"/>
              <w:ind w:left="100"/>
              <w:jc w:val="center"/>
              <w:rPr>
                <w:b/>
                <w:i/>
                <w:color w:val="FFFFFF"/>
                <w:lang w:val="en-GB"/>
              </w:rPr>
            </w:pPr>
            <w:r w:rsidRPr="00E94510">
              <w:rPr>
                <w:b/>
                <w:i/>
                <w:color w:val="FFFFFF"/>
                <w:lang w:val="en-GB"/>
              </w:rPr>
              <w:t>-</w:t>
            </w:r>
          </w:p>
        </w:tc>
        <w:tc>
          <w:tcPr>
            <w:tcW w:w="1701" w:type="dxa"/>
            <w:tcBorders>
              <w:top w:val="nil"/>
              <w:left w:val="nil"/>
              <w:bottom w:val="single" w:sz="8" w:space="0" w:color="000000"/>
              <w:right w:val="single" w:sz="8" w:space="0" w:color="000000"/>
            </w:tcBorders>
            <w:tcMar>
              <w:top w:w="20" w:type="dxa"/>
              <w:left w:w="100" w:type="dxa"/>
              <w:bottom w:w="100" w:type="dxa"/>
              <w:right w:w="100" w:type="dxa"/>
            </w:tcMar>
          </w:tcPr>
          <w:p w14:paraId="0370F862" w14:textId="77777777" w:rsidR="00281246" w:rsidRPr="00E94510" w:rsidRDefault="00743AC7">
            <w:pPr>
              <w:widowControl w:val="0"/>
              <w:ind w:left="100"/>
              <w:jc w:val="center"/>
              <w:rPr>
                <w:b/>
                <w:i/>
                <w:color w:val="FFFFFF"/>
                <w:lang w:val="en-GB"/>
              </w:rPr>
            </w:pPr>
            <w:r w:rsidRPr="00E94510">
              <w:rPr>
                <w:b/>
                <w:i/>
                <w:color w:val="FFFFFF"/>
                <w:lang w:val="en-GB"/>
              </w:rPr>
              <w:t>-</w:t>
            </w:r>
          </w:p>
        </w:tc>
        <w:tc>
          <w:tcPr>
            <w:tcW w:w="2562" w:type="dxa"/>
            <w:tcBorders>
              <w:top w:val="nil"/>
              <w:left w:val="nil"/>
              <w:bottom w:val="single" w:sz="8" w:space="0" w:color="000000"/>
              <w:right w:val="single" w:sz="8" w:space="0" w:color="000000"/>
            </w:tcBorders>
            <w:tcMar>
              <w:top w:w="20" w:type="dxa"/>
              <w:left w:w="100" w:type="dxa"/>
              <w:bottom w:w="100" w:type="dxa"/>
              <w:right w:w="100" w:type="dxa"/>
            </w:tcMar>
          </w:tcPr>
          <w:p w14:paraId="1FF56F2A" w14:textId="77777777" w:rsidR="00281246" w:rsidRPr="00E94510" w:rsidRDefault="00743AC7">
            <w:pPr>
              <w:widowControl w:val="0"/>
              <w:ind w:left="100"/>
              <w:jc w:val="center"/>
              <w:rPr>
                <w:b/>
                <w:i/>
                <w:color w:val="FFFFFF"/>
                <w:lang w:val="en-GB"/>
              </w:rPr>
            </w:pPr>
            <w:r w:rsidRPr="00E94510">
              <w:rPr>
                <w:b/>
                <w:i/>
                <w:color w:val="FFFFFF"/>
                <w:lang w:val="en-GB"/>
              </w:rPr>
              <w:t>-</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25B67481" w14:textId="2C58D175" w:rsidR="00281246" w:rsidRPr="00E94510" w:rsidRDefault="00CD08F1">
            <w:pPr>
              <w:widowControl w:val="0"/>
              <w:ind w:left="100"/>
              <w:jc w:val="center"/>
              <w:rPr>
                <w:b/>
                <w:i/>
                <w:color w:val="00B050"/>
                <w:lang w:val="en-GB"/>
              </w:rPr>
            </w:pPr>
            <w:r w:rsidRPr="00E94510">
              <w:rPr>
                <w:b/>
                <w:i/>
                <w:color w:val="FFFFFF"/>
                <w:lang w:val="en-GB"/>
              </w:rPr>
              <w:t>-</w:t>
            </w:r>
            <w:r w:rsidR="00743AC7" w:rsidRPr="00E94510">
              <w:rPr>
                <w:b/>
                <w:i/>
                <w:color w:val="00B050"/>
                <w:lang w:val="en-GB"/>
              </w:rPr>
              <w:t xml:space="preserve"> </w:t>
            </w:r>
          </w:p>
        </w:tc>
      </w:tr>
      <w:tr w:rsidR="00281246" w:rsidRPr="00E94510" w14:paraId="3B8D11E4" w14:textId="77777777" w:rsidTr="002963B1">
        <w:trPr>
          <w:trHeight w:val="695"/>
        </w:trPr>
        <w:tc>
          <w:tcPr>
            <w:tcW w:w="1603" w:type="dxa"/>
            <w:tcBorders>
              <w:top w:val="nil"/>
              <w:left w:val="single" w:sz="8" w:space="0" w:color="000000"/>
              <w:bottom w:val="single" w:sz="8" w:space="0" w:color="000000"/>
              <w:right w:val="single" w:sz="8" w:space="0" w:color="000000"/>
            </w:tcBorders>
            <w:tcMar>
              <w:top w:w="20" w:type="dxa"/>
              <w:left w:w="100" w:type="dxa"/>
              <w:bottom w:w="100" w:type="dxa"/>
              <w:right w:w="100" w:type="dxa"/>
            </w:tcMar>
          </w:tcPr>
          <w:p w14:paraId="133672C1" w14:textId="77777777" w:rsidR="00281246" w:rsidRPr="00E94510" w:rsidRDefault="00743AC7">
            <w:pPr>
              <w:widowControl w:val="0"/>
              <w:ind w:left="100"/>
              <w:rPr>
                <w:b/>
                <w:i/>
                <w:color w:val="FFFFFF"/>
                <w:lang w:val="en-GB"/>
              </w:rPr>
            </w:pPr>
            <w:r w:rsidRPr="00E94510">
              <w:rPr>
                <w:b/>
                <w:i/>
                <w:color w:val="FFFFFF"/>
                <w:lang w:val="en-GB"/>
              </w:rPr>
              <w:t>Russian Federation</w:t>
            </w:r>
          </w:p>
        </w:tc>
        <w:tc>
          <w:tcPr>
            <w:tcW w:w="1559" w:type="dxa"/>
            <w:tcBorders>
              <w:top w:val="nil"/>
              <w:left w:val="nil"/>
              <w:bottom w:val="single" w:sz="8" w:space="0" w:color="000000"/>
              <w:right w:val="single" w:sz="8" w:space="0" w:color="000000"/>
            </w:tcBorders>
            <w:tcMar>
              <w:top w:w="20" w:type="dxa"/>
              <w:left w:w="100" w:type="dxa"/>
              <w:bottom w:w="100" w:type="dxa"/>
              <w:right w:w="100" w:type="dxa"/>
            </w:tcMar>
          </w:tcPr>
          <w:p w14:paraId="2ADD125B" w14:textId="77777777" w:rsidR="00281246" w:rsidRPr="00E94510" w:rsidRDefault="00743AC7">
            <w:pPr>
              <w:widowControl w:val="0"/>
              <w:ind w:left="100"/>
              <w:jc w:val="center"/>
              <w:rPr>
                <w:b/>
                <w:i/>
                <w:color w:val="FFFFFF"/>
                <w:lang w:val="en-GB"/>
              </w:rPr>
            </w:pPr>
            <w:r w:rsidRPr="00E94510">
              <w:rPr>
                <w:b/>
                <w:i/>
                <w:color w:val="FFFFFF"/>
                <w:lang w:val="en-GB"/>
              </w:rPr>
              <w:t>X</w:t>
            </w:r>
          </w:p>
        </w:tc>
        <w:tc>
          <w:tcPr>
            <w:tcW w:w="1701" w:type="dxa"/>
            <w:tcBorders>
              <w:top w:val="nil"/>
              <w:left w:val="nil"/>
              <w:bottom w:val="single" w:sz="8" w:space="0" w:color="000000"/>
              <w:right w:val="single" w:sz="8" w:space="0" w:color="000000"/>
            </w:tcBorders>
            <w:tcMar>
              <w:top w:w="20" w:type="dxa"/>
              <w:left w:w="100" w:type="dxa"/>
              <w:bottom w:w="100" w:type="dxa"/>
              <w:right w:w="100" w:type="dxa"/>
            </w:tcMar>
          </w:tcPr>
          <w:p w14:paraId="7E160865" w14:textId="77777777" w:rsidR="00281246" w:rsidRPr="00E94510" w:rsidRDefault="00743AC7">
            <w:pPr>
              <w:widowControl w:val="0"/>
              <w:ind w:left="100"/>
              <w:jc w:val="center"/>
              <w:rPr>
                <w:b/>
                <w:i/>
                <w:color w:val="FFFFFF"/>
                <w:lang w:val="en-GB"/>
              </w:rPr>
            </w:pPr>
            <w:r w:rsidRPr="00E94510">
              <w:rPr>
                <w:b/>
                <w:i/>
                <w:color w:val="FFFFFF"/>
                <w:lang w:val="en-GB"/>
              </w:rPr>
              <w:t>-</w:t>
            </w:r>
          </w:p>
        </w:tc>
        <w:tc>
          <w:tcPr>
            <w:tcW w:w="2562" w:type="dxa"/>
            <w:tcBorders>
              <w:top w:val="nil"/>
              <w:left w:val="nil"/>
              <w:bottom w:val="single" w:sz="8" w:space="0" w:color="000000"/>
              <w:right w:val="single" w:sz="8" w:space="0" w:color="000000"/>
            </w:tcBorders>
            <w:tcMar>
              <w:top w:w="20" w:type="dxa"/>
              <w:left w:w="100" w:type="dxa"/>
              <w:bottom w:w="100" w:type="dxa"/>
              <w:right w:w="100" w:type="dxa"/>
            </w:tcMar>
          </w:tcPr>
          <w:p w14:paraId="2E4CF4A4" w14:textId="77777777" w:rsidR="00281246" w:rsidRPr="00E94510" w:rsidRDefault="00743AC7">
            <w:pPr>
              <w:widowControl w:val="0"/>
              <w:ind w:left="100"/>
              <w:jc w:val="center"/>
              <w:rPr>
                <w:b/>
                <w:i/>
                <w:color w:val="FFFFFF"/>
                <w:lang w:val="en-GB"/>
              </w:rPr>
            </w:pPr>
            <w:r w:rsidRPr="00E94510">
              <w:rPr>
                <w:b/>
                <w:i/>
                <w:color w:val="FFFFFF"/>
                <w:lang w:val="en-GB"/>
              </w:rPr>
              <w:t>X</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59520B6C" w14:textId="66683A70" w:rsidR="00281246" w:rsidRPr="00E94510" w:rsidRDefault="00CD08F1">
            <w:pPr>
              <w:widowControl w:val="0"/>
              <w:ind w:left="100"/>
              <w:jc w:val="center"/>
              <w:rPr>
                <w:b/>
                <w:i/>
                <w:color w:val="00B050"/>
                <w:lang w:val="en-GB"/>
              </w:rPr>
            </w:pPr>
            <w:r w:rsidRPr="00E94510">
              <w:rPr>
                <w:b/>
                <w:i/>
                <w:color w:val="FFFFFF"/>
                <w:lang w:val="en-GB"/>
              </w:rPr>
              <w:t>-</w:t>
            </w:r>
            <w:r w:rsidR="00743AC7" w:rsidRPr="00E94510">
              <w:rPr>
                <w:b/>
                <w:i/>
                <w:color w:val="00B050"/>
                <w:lang w:val="en-GB"/>
              </w:rPr>
              <w:t xml:space="preserve"> </w:t>
            </w:r>
          </w:p>
        </w:tc>
      </w:tr>
      <w:tr w:rsidR="00281246" w:rsidRPr="00E94510" w14:paraId="64A59655" w14:textId="77777777" w:rsidTr="002963B1">
        <w:trPr>
          <w:trHeight w:val="605"/>
        </w:trPr>
        <w:tc>
          <w:tcPr>
            <w:tcW w:w="1603" w:type="dxa"/>
            <w:tcBorders>
              <w:top w:val="nil"/>
              <w:left w:val="single" w:sz="8" w:space="0" w:color="000000"/>
              <w:bottom w:val="single" w:sz="8" w:space="0" w:color="000000"/>
              <w:right w:val="single" w:sz="8" w:space="0" w:color="000000"/>
            </w:tcBorders>
            <w:tcMar>
              <w:top w:w="20" w:type="dxa"/>
              <w:left w:w="100" w:type="dxa"/>
              <w:bottom w:w="100" w:type="dxa"/>
              <w:right w:w="100" w:type="dxa"/>
            </w:tcMar>
          </w:tcPr>
          <w:p w14:paraId="2DF421A2" w14:textId="77777777" w:rsidR="00281246" w:rsidRPr="00E94510" w:rsidRDefault="00743AC7">
            <w:pPr>
              <w:widowControl w:val="0"/>
              <w:ind w:left="100"/>
              <w:rPr>
                <w:b/>
                <w:i/>
                <w:color w:val="FFFFFF"/>
                <w:lang w:val="en-GB"/>
              </w:rPr>
            </w:pPr>
            <w:r w:rsidRPr="00E94510">
              <w:rPr>
                <w:b/>
                <w:i/>
                <w:color w:val="FFFFFF"/>
                <w:lang w:val="en-GB"/>
              </w:rPr>
              <w:t>Japan</w:t>
            </w:r>
          </w:p>
        </w:tc>
        <w:tc>
          <w:tcPr>
            <w:tcW w:w="1559" w:type="dxa"/>
            <w:tcBorders>
              <w:top w:val="nil"/>
              <w:left w:val="nil"/>
              <w:bottom w:val="single" w:sz="8" w:space="0" w:color="000000"/>
              <w:right w:val="single" w:sz="8" w:space="0" w:color="000000"/>
            </w:tcBorders>
            <w:tcMar>
              <w:top w:w="20" w:type="dxa"/>
              <w:left w:w="100" w:type="dxa"/>
              <w:bottom w:w="100" w:type="dxa"/>
              <w:right w:w="100" w:type="dxa"/>
            </w:tcMar>
          </w:tcPr>
          <w:p w14:paraId="09BB1A79" w14:textId="77777777" w:rsidR="00281246" w:rsidRPr="00E94510" w:rsidRDefault="00743AC7">
            <w:pPr>
              <w:widowControl w:val="0"/>
              <w:ind w:left="100"/>
              <w:jc w:val="center"/>
              <w:rPr>
                <w:b/>
                <w:i/>
                <w:color w:val="FFFFFF"/>
                <w:lang w:val="en-GB"/>
              </w:rPr>
            </w:pPr>
            <w:r w:rsidRPr="00E94510">
              <w:rPr>
                <w:b/>
                <w:i/>
                <w:color w:val="FFFFFF"/>
                <w:lang w:val="en-GB"/>
              </w:rPr>
              <w:t>X</w:t>
            </w:r>
          </w:p>
        </w:tc>
        <w:tc>
          <w:tcPr>
            <w:tcW w:w="1701" w:type="dxa"/>
            <w:tcBorders>
              <w:top w:val="nil"/>
              <w:left w:val="nil"/>
              <w:bottom w:val="single" w:sz="8" w:space="0" w:color="000000"/>
              <w:right w:val="single" w:sz="8" w:space="0" w:color="000000"/>
            </w:tcBorders>
            <w:tcMar>
              <w:top w:w="20" w:type="dxa"/>
              <w:left w:w="100" w:type="dxa"/>
              <w:bottom w:w="100" w:type="dxa"/>
              <w:right w:w="100" w:type="dxa"/>
            </w:tcMar>
          </w:tcPr>
          <w:p w14:paraId="69F34688" w14:textId="77777777" w:rsidR="00281246" w:rsidRPr="00E94510" w:rsidRDefault="00743AC7">
            <w:pPr>
              <w:widowControl w:val="0"/>
              <w:ind w:left="100"/>
              <w:jc w:val="center"/>
              <w:rPr>
                <w:b/>
                <w:i/>
                <w:color w:val="FFFFFF"/>
                <w:lang w:val="en-GB"/>
              </w:rPr>
            </w:pPr>
            <w:r w:rsidRPr="00E94510">
              <w:rPr>
                <w:b/>
                <w:i/>
                <w:color w:val="FFFFFF"/>
                <w:lang w:val="en-GB"/>
              </w:rPr>
              <w:t>-</w:t>
            </w:r>
          </w:p>
        </w:tc>
        <w:tc>
          <w:tcPr>
            <w:tcW w:w="2562" w:type="dxa"/>
            <w:tcBorders>
              <w:top w:val="nil"/>
              <w:left w:val="nil"/>
              <w:bottom w:val="single" w:sz="8" w:space="0" w:color="000000"/>
              <w:right w:val="single" w:sz="8" w:space="0" w:color="000000"/>
            </w:tcBorders>
            <w:tcMar>
              <w:top w:w="20" w:type="dxa"/>
              <w:left w:w="100" w:type="dxa"/>
              <w:bottom w:w="100" w:type="dxa"/>
              <w:right w:w="100" w:type="dxa"/>
            </w:tcMar>
          </w:tcPr>
          <w:p w14:paraId="34E5C08D" w14:textId="77777777" w:rsidR="00281246" w:rsidRPr="00E94510" w:rsidRDefault="00743AC7">
            <w:pPr>
              <w:widowControl w:val="0"/>
              <w:ind w:left="100"/>
              <w:jc w:val="center"/>
              <w:rPr>
                <w:b/>
                <w:i/>
                <w:color w:val="FFFFFF"/>
                <w:lang w:val="en-GB"/>
              </w:rPr>
            </w:pPr>
            <w:r w:rsidRPr="00E94510">
              <w:rPr>
                <w:b/>
                <w:i/>
                <w:color w:val="FFFFFF"/>
                <w:lang w:val="en-GB"/>
              </w:rPr>
              <w:t>-</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6D189F56" w14:textId="4796B8B9" w:rsidR="00281246" w:rsidRPr="00E94510" w:rsidRDefault="00CD08F1">
            <w:pPr>
              <w:widowControl w:val="0"/>
              <w:ind w:left="100"/>
              <w:jc w:val="center"/>
              <w:rPr>
                <w:b/>
                <w:i/>
                <w:color w:val="00B050"/>
                <w:lang w:val="en-GB"/>
              </w:rPr>
            </w:pPr>
            <w:r w:rsidRPr="00E94510">
              <w:rPr>
                <w:b/>
                <w:i/>
                <w:color w:val="FFFFFF"/>
                <w:lang w:val="en-GB"/>
              </w:rPr>
              <w:t>-</w:t>
            </w:r>
            <w:r w:rsidR="00743AC7" w:rsidRPr="00E94510">
              <w:rPr>
                <w:b/>
                <w:i/>
                <w:color w:val="00B050"/>
                <w:lang w:val="en-GB"/>
              </w:rPr>
              <w:t xml:space="preserve"> </w:t>
            </w:r>
          </w:p>
        </w:tc>
      </w:tr>
      <w:tr w:rsidR="00281246" w:rsidRPr="00E94510" w14:paraId="7852D1EE" w14:textId="77777777" w:rsidTr="002963B1">
        <w:trPr>
          <w:trHeight w:val="605"/>
        </w:trPr>
        <w:tc>
          <w:tcPr>
            <w:tcW w:w="1603" w:type="dxa"/>
            <w:tcBorders>
              <w:top w:val="nil"/>
              <w:left w:val="single" w:sz="8" w:space="0" w:color="000000"/>
              <w:bottom w:val="single" w:sz="8" w:space="0" w:color="000000"/>
              <w:right w:val="single" w:sz="8" w:space="0" w:color="000000"/>
            </w:tcBorders>
            <w:tcMar>
              <w:top w:w="20" w:type="dxa"/>
              <w:left w:w="100" w:type="dxa"/>
              <w:bottom w:w="100" w:type="dxa"/>
              <w:right w:w="100" w:type="dxa"/>
            </w:tcMar>
          </w:tcPr>
          <w:p w14:paraId="3F8530E4" w14:textId="77777777" w:rsidR="00281246" w:rsidRPr="00E94510" w:rsidRDefault="00743AC7">
            <w:pPr>
              <w:widowControl w:val="0"/>
              <w:ind w:left="100"/>
              <w:rPr>
                <w:b/>
                <w:i/>
                <w:color w:val="FFFFFF"/>
                <w:lang w:val="en-GB"/>
              </w:rPr>
            </w:pPr>
            <w:r w:rsidRPr="00E94510">
              <w:rPr>
                <w:b/>
                <w:i/>
                <w:color w:val="FFFFFF"/>
                <w:lang w:val="en-GB"/>
              </w:rPr>
              <w:t>Philippines</w:t>
            </w:r>
          </w:p>
        </w:tc>
        <w:tc>
          <w:tcPr>
            <w:tcW w:w="1559" w:type="dxa"/>
            <w:tcBorders>
              <w:top w:val="nil"/>
              <w:left w:val="nil"/>
              <w:bottom w:val="single" w:sz="8" w:space="0" w:color="000000"/>
              <w:right w:val="single" w:sz="8" w:space="0" w:color="000000"/>
            </w:tcBorders>
            <w:tcMar>
              <w:top w:w="20" w:type="dxa"/>
              <w:left w:w="100" w:type="dxa"/>
              <w:bottom w:w="100" w:type="dxa"/>
              <w:right w:w="100" w:type="dxa"/>
            </w:tcMar>
          </w:tcPr>
          <w:p w14:paraId="73B177E3" w14:textId="77777777" w:rsidR="00281246" w:rsidRPr="00E94510" w:rsidRDefault="00743AC7">
            <w:pPr>
              <w:widowControl w:val="0"/>
              <w:ind w:left="100"/>
              <w:jc w:val="center"/>
              <w:rPr>
                <w:b/>
                <w:i/>
                <w:color w:val="FFFFFF"/>
                <w:lang w:val="en-GB"/>
              </w:rPr>
            </w:pPr>
            <w:r w:rsidRPr="00E94510">
              <w:rPr>
                <w:b/>
                <w:i/>
                <w:color w:val="FFFFFF"/>
                <w:lang w:val="en-GB"/>
              </w:rPr>
              <w:t>X</w:t>
            </w:r>
          </w:p>
        </w:tc>
        <w:tc>
          <w:tcPr>
            <w:tcW w:w="1701" w:type="dxa"/>
            <w:tcBorders>
              <w:top w:val="nil"/>
              <w:left w:val="nil"/>
              <w:bottom w:val="single" w:sz="8" w:space="0" w:color="000000"/>
              <w:right w:val="single" w:sz="8" w:space="0" w:color="000000"/>
            </w:tcBorders>
            <w:tcMar>
              <w:top w:w="20" w:type="dxa"/>
              <w:left w:w="100" w:type="dxa"/>
              <w:bottom w:w="100" w:type="dxa"/>
              <w:right w:w="100" w:type="dxa"/>
            </w:tcMar>
          </w:tcPr>
          <w:p w14:paraId="7A51303B" w14:textId="77777777" w:rsidR="00281246" w:rsidRPr="00E94510" w:rsidRDefault="00743AC7">
            <w:pPr>
              <w:widowControl w:val="0"/>
              <w:ind w:left="100"/>
              <w:jc w:val="center"/>
              <w:rPr>
                <w:b/>
                <w:i/>
                <w:color w:val="FFFFFF"/>
                <w:lang w:val="en-GB"/>
              </w:rPr>
            </w:pPr>
            <w:r w:rsidRPr="00E94510">
              <w:rPr>
                <w:b/>
                <w:i/>
                <w:color w:val="FFFFFF"/>
                <w:lang w:val="en-GB"/>
              </w:rPr>
              <w:t>-</w:t>
            </w:r>
          </w:p>
        </w:tc>
        <w:tc>
          <w:tcPr>
            <w:tcW w:w="2562" w:type="dxa"/>
            <w:tcBorders>
              <w:top w:val="nil"/>
              <w:left w:val="nil"/>
              <w:bottom w:val="single" w:sz="8" w:space="0" w:color="000000"/>
              <w:right w:val="single" w:sz="8" w:space="0" w:color="000000"/>
            </w:tcBorders>
            <w:tcMar>
              <w:top w:w="20" w:type="dxa"/>
              <w:left w:w="100" w:type="dxa"/>
              <w:bottom w:w="100" w:type="dxa"/>
              <w:right w:w="100" w:type="dxa"/>
            </w:tcMar>
          </w:tcPr>
          <w:p w14:paraId="17B42F83" w14:textId="77777777" w:rsidR="00281246" w:rsidRPr="00E94510" w:rsidRDefault="00743AC7">
            <w:pPr>
              <w:widowControl w:val="0"/>
              <w:ind w:left="100"/>
              <w:jc w:val="center"/>
              <w:rPr>
                <w:b/>
                <w:i/>
                <w:color w:val="FFFFFF"/>
                <w:lang w:val="en-GB"/>
              </w:rPr>
            </w:pPr>
            <w:r w:rsidRPr="00E94510">
              <w:rPr>
                <w:b/>
                <w:i/>
                <w:color w:val="FFFFFF"/>
                <w:lang w:val="en-GB"/>
              </w:rPr>
              <w:t>-</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768F739A" w14:textId="0FDB46A4" w:rsidR="00281246" w:rsidRPr="00E94510" w:rsidRDefault="00743AC7">
            <w:pPr>
              <w:widowControl w:val="0"/>
              <w:ind w:left="100"/>
              <w:jc w:val="center"/>
              <w:rPr>
                <w:b/>
                <w:i/>
                <w:color w:val="00B050"/>
                <w:lang w:val="en-GB"/>
              </w:rPr>
            </w:pPr>
            <w:r w:rsidRPr="00E94510">
              <w:rPr>
                <w:b/>
                <w:i/>
                <w:color w:val="00B050"/>
                <w:lang w:val="en-GB"/>
              </w:rPr>
              <w:t xml:space="preserve"> </w:t>
            </w:r>
            <w:r w:rsidR="00CD08F1" w:rsidRPr="00E94510">
              <w:rPr>
                <w:b/>
                <w:i/>
                <w:color w:val="FFFFFF"/>
                <w:lang w:val="en-GB"/>
              </w:rPr>
              <w:t>-</w:t>
            </w:r>
          </w:p>
        </w:tc>
      </w:tr>
      <w:tr w:rsidR="00281246" w:rsidRPr="00E94510" w14:paraId="445FD354" w14:textId="77777777" w:rsidTr="002963B1">
        <w:trPr>
          <w:trHeight w:val="605"/>
        </w:trPr>
        <w:tc>
          <w:tcPr>
            <w:tcW w:w="1603" w:type="dxa"/>
            <w:tcBorders>
              <w:top w:val="nil"/>
              <w:left w:val="single" w:sz="8" w:space="0" w:color="000000"/>
              <w:bottom w:val="single" w:sz="8" w:space="0" w:color="000000"/>
              <w:right w:val="single" w:sz="8" w:space="0" w:color="000000"/>
            </w:tcBorders>
            <w:tcMar>
              <w:top w:w="20" w:type="dxa"/>
              <w:left w:w="100" w:type="dxa"/>
              <w:bottom w:w="100" w:type="dxa"/>
              <w:right w:w="100" w:type="dxa"/>
            </w:tcMar>
          </w:tcPr>
          <w:p w14:paraId="1C4C8263" w14:textId="77777777" w:rsidR="00281246" w:rsidRPr="00E94510" w:rsidRDefault="00743AC7">
            <w:pPr>
              <w:widowControl w:val="0"/>
              <w:ind w:left="100"/>
              <w:rPr>
                <w:b/>
                <w:i/>
                <w:color w:val="FFFFFF"/>
                <w:lang w:val="en-GB"/>
              </w:rPr>
            </w:pPr>
            <w:r w:rsidRPr="00E94510">
              <w:rPr>
                <w:b/>
                <w:i/>
                <w:color w:val="FFFFFF"/>
                <w:lang w:val="en-GB"/>
              </w:rPr>
              <w:lastRenderedPageBreak/>
              <w:t>Peru</w:t>
            </w:r>
          </w:p>
        </w:tc>
        <w:tc>
          <w:tcPr>
            <w:tcW w:w="1559" w:type="dxa"/>
            <w:tcBorders>
              <w:top w:val="nil"/>
              <w:left w:val="nil"/>
              <w:bottom w:val="single" w:sz="8" w:space="0" w:color="000000"/>
              <w:right w:val="single" w:sz="8" w:space="0" w:color="000000"/>
            </w:tcBorders>
            <w:tcMar>
              <w:top w:w="20" w:type="dxa"/>
              <w:left w:w="100" w:type="dxa"/>
              <w:bottom w:w="100" w:type="dxa"/>
              <w:right w:w="100" w:type="dxa"/>
            </w:tcMar>
          </w:tcPr>
          <w:p w14:paraId="3E32CB3C" w14:textId="77777777" w:rsidR="00281246" w:rsidRPr="00E94510" w:rsidRDefault="00743AC7">
            <w:pPr>
              <w:widowControl w:val="0"/>
              <w:ind w:left="100"/>
              <w:jc w:val="center"/>
              <w:rPr>
                <w:i/>
                <w:color w:val="FFFFFF"/>
                <w:lang w:val="en-GB"/>
              </w:rPr>
            </w:pPr>
            <w:r w:rsidRPr="00E94510">
              <w:rPr>
                <w:i/>
                <w:color w:val="FFFFFF"/>
                <w:lang w:val="en-GB"/>
              </w:rPr>
              <w:t>-</w:t>
            </w:r>
          </w:p>
        </w:tc>
        <w:tc>
          <w:tcPr>
            <w:tcW w:w="1701" w:type="dxa"/>
            <w:tcBorders>
              <w:top w:val="nil"/>
              <w:left w:val="nil"/>
              <w:bottom w:val="single" w:sz="8" w:space="0" w:color="000000"/>
              <w:right w:val="single" w:sz="8" w:space="0" w:color="000000"/>
            </w:tcBorders>
            <w:tcMar>
              <w:top w:w="20" w:type="dxa"/>
              <w:left w:w="100" w:type="dxa"/>
              <w:bottom w:w="100" w:type="dxa"/>
              <w:right w:w="100" w:type="dxa"/>
            </w:tcMar>
          </w:tcPr>
          <w:p w14:paraId="3DAB8A46" w14:textId="77777777" w:rsidR="00281246" w:rsidRPr="00E94510" w:rsidRDefault="00743AC7">
            <w:pPr>
              <w:widowControl w:val="0"/>
              <w:ind w:left="100"/>
              <w:jc w:val="center"/>
              <w:rPr>
                <w:i/>
                <w:color w:val="FFFFFF"/>
                <w:lang w:val="en-GB"/>
              </w:rPr>
            </w:pPr>
            <w:r w:rsidRPr="00E94510">
              <w:rPr>
                <w:i/>
                <w:color w:val="FFFFFF"/>
                <w:lang w:val="en-GB"/>
              </w:rPr>
              <w:t>-</w:t>
            </w:r>
          </w:p>
        </w:tc>
        <w:tc>
          <w:tcPr>
            <w:tcW w:w="2562" w:type="dxa"/>
            <w:tcBorders>
              <w:top w:val="nil"/>
              <w:left w:val="nil"/>
              <w:bottom w:val="single" w:sz="8" w:space="0" w:color="000000"/>
              <w:right w:val="single" w:sz="8" w:space="0" w:color="000000"/>
            </w:tcBorders>
            <w:tcMar>
              <w:top w:w="20" w:type="dxa"/>
              <w:left w:w="100" w:type="dxa"/>
              <w:bottom w:w="100" w:type="dxa"/>
              <w:right w:w="100" w:type="dxa"/>
            </w:tcMar>
          </w:tcPr>
          <w:p w14:paraId="78E47239" w14:textId="77777777" w:rsidR="00281246" w:rsidRPr="00E94510" w:rsidRDefault="00743AC7">
            <w:pPr>
              <w:widowControl w:val="0"/>
              <w:ind w:left="100"/>
              <w:jc w:val="center"/>
              <w:rPr>
                <w:i/>
                <w:color w:val="FFFFFF"/>
                <w:lang w:val="en-GB"/>
              </w:rPr>
            </w:pPr>
            <w:r w:rsidRPr="00E94510">
              <w:rPr>
                <w:i/>
                <w:color w:val="FFFFFF"/>
                <w:lang w:val="en-GB"/>
              </w:rPr>
              <w:t>-</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6EFEE9E4" w14:textId="77777777" w:rsidR="00281246" w:rsidRPr="00E94510" w:rsidRDefault="00743AC7">
            <w:pPr>
              <w:widowControl w:val="0"/>
              <w:ind w:left="100"/>
              <w:jc w:val="center"/>
              <w:rPr>
                <w:i/>
                <w:color w:val="FFFFFF"/>
                <w:lang w:val="en-GB"/>
              </w:rPr>
            </w:pPr>
            <w:r w:rsidRPr="00E94510">
              <w:rPr>
                <w:i/>
                <w:color w:val="FFFFFF"/>
                <w:lang w:val="en-GB"/>
              </w:rPr>
              <w:t>X</w:t>
            </w:r>
          </w:p>
        </w:tc>
      </w:tr>
      <w:tr w:rsidR="00281246" w:rsidRPr="00E94510" w14:paraId="165422CF" w14:textId="77777777" w:rsidTr="002963B1">
        <w:trPr>
          <w:trHeight w:val="605"/>
        </w:trPr>
        <w:tc>
          <w:tcPr>
            <w:tcW w:w="1603" w:type="dxa"/>
            <w:tcBorders>
              <w:top w:val="nil"/>
              <w:left w:val="single" w:sz="8" w:space="0" w:color="000000"/>
              <w:bottom w:val="single" w:sz="8" w:space="0" w:color="000000"/>
              <w:right w:val="single" w:sz="8" w:space="0" w:color="000000"/>
            </w:tcBorders>
            <w:tcMar>
              <w:top w:w="20" w:type="dxa"/>
              <w:left w:w="100" w:type="dxa"/>
              <w:bottom w:w="100" w:type="dxa"/>
              <w:right w:w="100" w:type="dxa"/>
            </w:tcMar>
          </w:tcPr>
          <w:p w14:paraId="2B3B0EF7" w14:textId="77777777" w:rsidR="00281246" w:rsidRPr="00E94510" w:rsidRDefault="00743AC7">
            <w:pPr>
              <w:widowControl w:val="0"/>
              <w:ind w:left="100"/>
              <w:rPr>
                <w:b/>
                <w:i/>
                <w:color w:val="FFFFFF"/>
                <w:lang w:val="en-GB"/>
              </w:rPr>
            </w:pPr>
            <w:r w:rsidRPr="00E94510">
              <w:rPr>
                <w:b/>
                <w:i/>
                <w:color w:val="FFFFFF"/>
                <w:lang w:val="en-GB"/>
              </w:rPr>
              <w:t>Bangladesh</w:t>
            </w:r>
          </w:p>
        </w:tc>
        <w:tc>
          <w:tcPr>
            <w:tcW w:w="1559" w:type="dxa"/>
            <w:tcBorders>
              <w:top w:val="nil"/>
              <w:left w:val="nil"/>
              <w:bottom w:val="single" w:sz="8" w:space="0" w:color="000000"/>
              <w:right w:val="single" w:sz="8" w:space="0" w:color="000000"/>
            </w:tcBorders>
            <w:tcMar>
              <w:top w:w="20" w:type="dxa"/>
              <w:left w:w="100" w:type="dxa"/>
              <w:bottom w:w="100" w:type="dxa"/>
              <w:right w:w="100" w:type="dxa"/>
            </w:tcMar>
          </w:tcPr>
          <w:p w14:paraId="13B9DE38" w14:textId="77777777" w:rsidR="00281246" w:rsidRPr="00E94510" w:rsidRDefault="00743AC7">
            <w:pPr>
              <w:widowControl w:val="0"/>
              <w:ind w:left="100"/>
              <w:jc w:val="center"/>
              <w:rPr>
                <w:b/>
                <w:i/>
                <w:color w:val="FFFFFF"/>
                <w:lang w:val="en-GB"/>
              </w:rPr>
            </w:pPr>
            <w:r w:rsidRPr="00E94510">
              <w:rPr>
                <w:b/>
                <w:i/>
                <w:color w:val="FFFFFF"/>
                <w:lang w:val="en-GB"/>
              </w:rPr>
              <w:t>X</w:t>
            </w:r>
          </w:p>
        </w:tc>
        <w:tc>
          <w:tcPr>
            <w:tcW w:w="1701" w:type="dxa"/>
            <w:tcBorders>
              <w:top w:val="nil"/>
              <w:left w:val="nil"/>
              <w:bottom w:val="single" w:sz="8" w:space="0" w:color="000000"/>
              <w:right w:val="single" w:sz="8" w:space="0" w:color="000000"/>
            </w:tcBorders>
            <w:tcMar>
              <w:top w:w="20" w:type="dxa"/>
              <w:left w:w="100" w:type="dxa"/>
              <w:bottom w:w="100" w:type="dxa"/>
              <w:right w:w="100" w:type="dxa"/>
            </w:tcMar>
          </w:tcPr>
          <w:p w14:paraId="5C8EBE91" w14:textId="77777777" w:rsidR="00281246" w:rsidRPr="00E94510" w:rsidRDefault="00743AC7">
            <w:pPr>
              <w:widowControl w:val="0"/>
              <w:ind w:left="100"/>
              <w:jc w:val="center"/>
              <w:rPr>
                <w:b/>
                <w:i/>
                <w:color w:val="FFFFFF"/>
                <w:lang w:val="en-GB"/>
              </w:rPr>
            </w:pPr>
            <w:r w:rsidRPr="00E94510">
              <w:rPr>
                <w:b/>
                <w:i/>
                <w:color w:val="FFFFFF"/>
                <w:lang w:val="en-GB"/>
              </w:rPr>
              <w:t>-</w:t>
            </w:r>
          </w:p>
        </w:tc>
        <w:tc>
          <w:tcPr>
            <w:tcW w:w="2562" w:type="dxa"/>
            <w:tcBorders>
              <w:top w:val="nil"/>
              <w:left w:val="nil"/>
              <w:bottom w:val="single" w:sz="8" w:space="0" w:color="000000"/>
              <w:right w:val="single" w:sz="8" w:space="0" w:color="000000"/>
            </w:tcBorders>
            <w:tcMar>
              <w:top w:w="20" w:type="dxa"/>
              <w:left w:w="100" w:type="dxa"/>
              <w:bottom w:w="100" w:type="dxa"/>
              <w:right w:w="100" w:type="dxa"/>
            </w:tcMar>
          </w:tcPr>
          <w:p w14:paraId="6B31B1AA" w14:textId="77777777" w:rsidR="00281246" w:rsidRPr="00E94510" w:rsidRDefault="00743AC7">
            <w:pPr>
              <w:widowControl w:val="0"/>
              <w:ind w:left="100"/>
              <w:jc w:val="center"/>
              <w:rPr>
                <w:b/>
                <w:i/>
                <w:color w:val="FFFFFF"/>
                <w:lang w:val="en-GB"/>
              </w:rPr>
            </w:pPr>
            <w:r w:rsidRPr="00E94510">
              <w:rPr>
                <w:b/>
                <w:i/>
                <w:color w:val="FFFFFF"/>
                <w:lang w:val="en-GB"/>
              </w:rPr>
              <w:t>-</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6C79C3A9" w14:textId="1E206312" w:rsidR="00281246" w:rsidRPr="00E94510" w:rsidRDefault="00CD08F1">
            <w:pPr>
              <w:widowControl w:val="0"/>
              <w:ind w:left="100"/>
              <w:jc w:val="center"/>
              <w:rPr>
                <w:b/>
                <w:i/>
                <w:color w:val="FFFFFF"/>
                <w:lang w:val="en-GB"/>
              </w:rPr>
            </w:pPr>
            <w:r w:rsidRPr="00E94510">
              <w:rPr>
                <w:b/>
                <w:i/>
                <w:color w:val="FFFFFF"/>
                <w:lang w:val="en-GB"/>
              </w:rPr>
              <w:t>-</w:t>
            </w:r>
          </w:p>
        </w:tc>
      </w:tr>
      <w:tr w:rsidR="00281246" w:rsidRPr="00E94510" w14:paraId="00631DED" w14:textId="77777777" w:rsidTr="002963B1">
        <w:trPr>
          <w:trHeight w:val="605"/>
        </w:trPr>
        <w:tc>
          <w:tcPr>
            <w:tcW w:w="1603" w:type="dxa"/>
            <w:tcBorders>
              <w:top w:val="nil"/>
              <w:left w:val="single" w:sz="8" w:space="0" w:color="000000"/>
              <w:bottom w:val="single" w:sz="8" w:space="0" w:color="000000"/>
              <w:right w:val="single" w:sz="8" w:space="0" w:color="000000"/>
            </w:tcBorders>
            <w:tcMar>
              <w:top w:w="20" w:type="dxa"/>
              <w:left w:w="100" w:type="dxa"/>
              <w:bottom w:w="100" w:type="dxa"/>
              <w:right w:w="100" w:type="dxa"/>
            </w:tcMar>
          </w:tcPr>
          <w:p w14:paraId="34C80EC8" w14:textId="77777777" w:rsidR="00281246" w:rsidRPr="00E94510" w:rsidRDefault="00743AC7">
            <w:pPr>
              <w:widowControl w:val="0"/>
              <w:ind w:left="100"/>
              <w:rPr>
                <w:b/>
                <w:i/>
                <w:color w:val="FFFFFF"/>
                <w:lang w:val="en-GB"/>
              </w:rPr>
            </w:pPr>
            <w:r w:rsidRPr="00E94510">
              <w:rPr>
                <w:b/>
                <w:i/>
                <w:color w:val="FFFFFF"/>
                <w:lang w:val="en-GB"/>
              </w:rPr>
              <w:t>Norway</w:t>
            </w:r>
          </w:p>
        </w:tc>
        <w:tc>
          <w:tcPr>
            <w:tcW w:w="1559" w:type="dxa"/>
            <w:tcBorders>
              <w:top w:val="nil"/>
              <w:left w:val="nil"/>
              <w:bottom w:val="single" w:sz="8" w:space="0" w:color="000000"/>
              <w:right w:val="single" w:sz="8" w:space="0" w:color="000000"/>
            </w:tcBorders>
            <w:tcMar>
              <w:top w:w="20" w:type="dxa"/>
              <w:left w:w="100" w:type="dxa"/>
              <w:bottom w:w="100" w:type="dxa"/>
              <w:right w:w="100" w:type="dxa"/>
            </w:tcMar>
          </w:tcPr>
          <w:p w14:paraId="79EBCF3E" w14:textId="77777777" w:rsidR="00281246" w:rsidRPr="00E94510" w:rsidRDefault="00743AC7">
            <w:pPr>
              <w:widowControl w:val="0"/>
              <w:ind w:left="100"/>
              <w:jc w:val="center"/>
              <w:rPr>
                <w:b/>
                <w:i/>
                <w:color w:val="FFFFFF"/>
                <w:lang w:val="en-GB"/>
              </w:rPr>
            </w:pPr>
            <w:r w:rsidRPr="00E94510">
              <w:rPr>
                <w:b/>
                <w:i/>
                <w:color w:val="FFFFFF"/>
                <w:lang w:val="en-GB"/>
              </w:rPr>
              <w:t>X</w:t>
            </w:r>
          </w:p>
        </w:tc>
        <w:tc>
          <w:tcPr>
            <w:tcW w:w="1701" w:type="dxa"/>
            <w:tcBorders>
              <w:top w:val="nil"/>
              <w:left w:val="nil"/>
              <w:bottom w:val="single" w:sz="8" w:space="0" w:color="000000"/>
              <w:right w:val="single" w:sz="8" w:space="0" w:color="000000"/>
            </w:tcBorders>
            <w:tcMar>
              <w:top w:w="20" w:type="dxa"/>
              <w:left w:w="100" w:type="dxa"/>
              <w:bottom w:w="100" w:type="dxa"/>
              <w:right w:w="100" w:type="dxa"/>
            </w:tcMar>
          </w:tcPr>
          <w:p w14:paraId="667A6D64" w14:textId="77777777" w:rsidR="00281246" w:rsidRPr="00E94510" w:rsidRDefault="00743AC7">
            <w:pPr>
              <w:widowControl w:val="0"/>
              <w:ind w:left="100"/>
              <w:jc w:val="center"/>
              <w:rPr>
                <w:b/>
                <w:i/>
                <w:color w:val="FFFFFF"/>
                <w:lang w:val="en-GB"/>
              </w:rPr>
            </w:pPr>
            <w:r w:rsidRPr="00E94510">
              <w:rPr>
                <w:b/>
                <w:i/>
                <w:color w:val="FFFFFF"/>
                <w:lang w:val="en-GB"/>
              </w:rPr>
              <w:t>X</w:t>
            </w:r>
          </w:p>
        </w:tc>
        <w:tc>
          <w:tcPr>
            <w:tcW w:w="2562" w:type="dxa"/>
            <w:tcBorders>
              <w:top w:val="nil"/>
              <w:left w:val="nil"/>
              <w:bottom w:val="single" w:sz="8" w:space="0" w:color="000000"/>
              <w:right w:val="single" w:sz="8" w:space="0" w:color="000000"/>
            </w:tcBorders>
            <w:tcMar>
              <w:top w:w="20" w:type="dxa"/>
              <w:left w:w="100" w:type="dxa"/>
              <w:bottom w:w="100" w:type="dxa"/>
              <w:right w:w="100" w:type="dxa"/>
            </w:tcMar>
          </w:tcPr>
          <w:p w14:paraId="01C37684" w14:textId="77777777" w:rsidR="00281246" w:rsidRPr="00E94510" w:rsidRDefault="00743AC7">
            <w:pPr>
              <w:widowControl w:val="0"/>
              <w:ind w:left="100"/>
              <w:jc w:val="center"/>
              <w:rPr>
                <w:b/>
                <w:i/>
                <w:color w:val="FFFFFF"/>
                <w:lang w:val="en-GB"/>
              </w:rPr>
            </w:pPr>
            <w:r w:rsidRPr="00E94510">
              <w:rPr>
                <w:b/>
                <w:i/>
                <w:color w:val="FFFFFF"/>
                <w:lang w:val="en-GB"/>
              </w:rPr>
              <w:t>X</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42A6499F" w14:textId="54CBBCE9" w:rsidR="00281246" w:rsidRPr="00E94510" w:rsidRDefault="00CD08F1">
            <w:pPr>
              <w:widowControl w:val="0"/>
              <w:ind w:left="100"/>
              <w:jc w:val="center"/>
              <w:rPr>
                <w:b/>
                <w:i/>
                <w:color w:val="00B050"/>
                <w:lang w:val="en-GB"/>
              </w:rPr>
            </w:pPr>
            <w:r w:rsidRPr="00E94510">
              <w:rPr>
                <w:b/>
                <w:i/>
                <w:color w:val="FFFFFF"/>
                <w:lang w:val="en-GB"/>
              </w:rPr>
              <w:t>X</w:t>
            </w:r>
            <w:r w:rsidR="00743AC7" w:rsidRPr="00E94510">
              <w:rPr>
                <w:b/>
                <w:i/>
                <w:color w:val="00B050"/>
                <w:lang w:val="en-GB"/>
              </w:rPr>
              <w:t xml:space="preserve"> </w:t>
            </w:r>
          </w:p>
        </w:tc>
      </w:tr>
      <w:tr w:rsidR="00281246" w:rsidRPr="00E94510" w14:paraId="6A27119A" w14:textId="77777777" w:rsidTr="002963B1">
        <w:trPr>
          <w:trHeight w:val="605"/>
        </w:trPr>
        <w:tc>
          <w:tcPr>
            <w:tcW w:w="1603" w:type="dxa"/>
            <w:tcBorders>
              <w:top w:val="nil"/>
              <w:left w:val="single" w:sz="8" w:space="0" w:color="000000"/>
              <w:bottom w:val="single" w:sz="8" w:space="0" w:color="000000"/>
              <w:right w:val="single" w:sz="8" w:space="0" w:color="000000"/>
            </w:tcBorders>
            <w:tcMar>
              <w:top w:w="20" w:type="dxa"/>
              <w:left w:w="100" w:type="dxa"/>
              <w:bottom w:w="100" w:type="dxa"/>
              <w:right w:w="100" w:type="dxa"/>
            </w:tcMar>
          </w:tcPr>
          <w:p w14:paraId="757FCA50" w14:textId="77777777" w:rsidR="00281246" w:rsidRPr="00E94510" w:rsidRDefault="00743AC7">
            <w:pPr>
              <w:widowControl w:val="0"/>
              <w:ind w:left="100"/>
              <w:rPr>
                <w:b/>
                <w:i/>
                <w:color w:val="FFFFFF"/>
                <w:lang w:val="en-GB"/>
              </w:rPr>
            </w:pPr>
            <w:r w:rsidRPr="00E94510">
              <w:rPr>
                <w:b/>
                <w:i/>
                <w:color w:val="FFFFFF"/>
                <w:lang w:val="en-GB"/>
              </w:rPr>
              <w:t>Rep. Korea</w:t>
            </w:r>
          </w:p>
        </w:tc>
        <w:tc>
          <w:tcPr>
            <w:tcW w:w="1559" w:type="dxa"/>
            <w:tcBorders>
              <w:top w:val="nil"/>
              <w:left w:val="nil"/>
              <w:bottom w:val="single" w:sz="8" w:space="0" w:color="000000"/>
              <w:right w:val="single" w:sz="8" w:space="0" w:color="000000"/>
            </w:tcBorders>
            <w:tcMar>
              <w:top w:w="20" w:type="dxa"/>
              <w:left w:w="100" w:type="dxa"/>
              <w:bottom w:w="100" w:type="dxa"/>
              <w:right w:w="100" w:type="dxa"/>
            </w:tcMar>
          </w:tcPr>
          <w:p w14:paraId="42814843" w14:textId="77777777" w:rsidR="00281246" w:rsidRPr="00E94510" w:rsidRDefault="00743AC7">
            <w:pPr>
              <w:widowControl w:val="0"/>
              <w:ind w:left="100"/>
              <w:jc w:val="center"/>
              <w:rPr>
                <w:b/>
                <w:i/>
                <w:color w:val="FFFFFF"/>
                <w:lang w:val="en-GB"/>
              </w:rPr>
            </w:pPr>
            <w:r w:rsidRPr="00E94510">
              <w:rPr>
                <w:b/>
                <w:i/>
                <w:color w:val="FFFFFF"/>
                <w:lang w:val="en-GB"/>
              </w:rPr>
              <w:t>X</w:t>
            </w:r>
          </w:p>
        </w:tc>
        <w:tc>
          <w:tcPr>
            <w:tcW w:w="1701" w:type="dxa"/>
            <w:tcBorders>
              <w:top w:val="nil"/>
              <w:left w:val="nil"/>
              <w:bottom w:val="single" w:sz="8" w:space="0" w:color="000000"/>
              <w:right w:val="single" w:sz="8" w:space="0" w:color="000000"/>
            </w:tcBorders>
            <w:tcMar>
              <w:top w:w="20" w:type="dxa"/>
              <w:left w:w="100" w:type="dxa"/>
              <w:bottom w:w="100" w:type="dxa"/>
              <w:right w:w="100" w:type="dxa"/>
            </w:tcMar>
          </w:tcPr>
          <w:p w14:paraId="74BE1B76" w14:textId="77777777" w:rsidR="00281246" w:rsidRPr="00E94510" w:rsidRDefault="00743AC7">
            <w:pPr>
              <w:widowControl w:val="0"/>
              <w:ind w:left="100"/>
              <w:jc w:val="center"/>
              <w:rPr>
                <w:b/>
                <w:i/>
                <w:color w:val="FFFFFF"/>
                <w:lang w:val="en-GB"/>
              </w:rPr>
            </w:pPr>
            <w:r w:rsidRPr="00E94510">
              <w:rPr>
                <w:b/>
                <w:i/>
                <w:color w:val="FFFFFF"/>
                <w:lang w:val="en-GB"/>
              </w:rPr>
              <w:t>-</w:t>
            </w:r>
          </w:p>
        </w:tc>
        <w:tc>
          <w:tcPr>
            <w:tcW w:w="2562" w:type="dxa"/>
            <w:tcBorders>
              <w:top w:val="nil"/>
              <w:left w:val="nil"/>
              <w:bottom w:val="single" w:sz="8" w:space="0" w:color="000000"/>
              <w:right w:val="single" w:sz="8" w:space="0" w:color="000000"/>
            </w:tcBorders>
            <w:tcMar>
              <w:top w:w="20" w:type="dxa"/>
              <w:left w:w="100" w:type="dxa"/>
              <w:bottom w:w="100" w:type="dxa"/>
              <w:right w:w="100" w:type="dxa"/>
            </w:tcMar>
          </w:tcPr>
          <w:p w14:paraId="3C307800" w14:textId="77777777" w:rsidR="00281246" w:rsidRPr="00E94510" w:rsidRDefault="00743AC7">
            <w:pPr>
              <w:widowControl w:val="0"/>
              <w:ind w:left="100"/>
              <w:jc w:val="center"/>
              <w:rPr>
                <w:b/>
                <w:i/>
                <w:color w:val="FFFFFF"/>
                <w:lang w:val="en-GB"/>
              </w:rPr>
            </w:pPr>
            <w:r w:rsidRPr="00E94510">
              <w:rPr>
                <w:b/>
                <w:i/>
                <w:color w:val="FFFFFF"/>
                <w:lang w:val="en-GB"/>
              </w:rPr>
              <w:t>-</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2A7874D6" w14:textId="28F4959B" w:rsidR="00281246" w:rsidRPr="00E94510" w:rsidRDefault="00CD08F1">
            <w:pPr>
              <w:widowControl w:val="0"/>
              <w:ind w:left="100"/>
              <w:jc w:val="center"/>
              <w:rPr>
                <w:b/>
                <w:i/>
                <w:color w:val="FFFFFF"/>
                <w:lang w:val="en-GB"/>
              </w:rPr>
            </w:pPr>
            <w:r w:rsidRPr="00E94510">
              <w:rPr>
                <w:b/>
                <w:i/>
                <w:color w:val="FFFFFF"/>
                <w:lang w:val="en-GB"/>
              </w:rPr>
              <w:t>-</w:t>
            </w:r>
          </w:p>
        </w:tc>
      </w:tr>
      <w:tr w:rsidR="00281246" w:rsidRPr="00E94510" w14:paraId="15E5E1F8" w14:textId="77777777" w:rsidTr="002963B1">
        <w:trPr>
          <w:trHeight w:val="605"/>
        </w:trPr>
        <w:tc>
          <w:tcPr>
            <w:tcW w:w="1603" w:type="dxa"/>
            <w:tcBorders>
              <w:top w:val="nil"/>
              <w:left w:val="single" w:sz="8" w:space="0" w:color="000000"/>
              <w:bottom w:val="single" w:sz="8" w:space="0" w:color="000000"/>
              <w:right w:val="single" w:sz="8" w:space="0" w:color="000000"/>
            </w:tcBorders>
            <w:tcMar>
              <w:top w:w="20" w:type="dxa"/>
              <w:left w:w="100" w:type="dxa"/>
              <w:bottom w:w="100" w:type="dxa"/>
              <w:right w:w="100" w:type="dxa"/>
            </w:tcMar>
          </w:tcPr>
          <w:p w14:paraId="77DB354E" w14:textId="77777777" w:rsidR="00281246" w:rsidRPr="00E94510" w:rsidRDefault="00743AC7">
            <w:pPr>
              <w:widowControl w:val="0"/>
              <w:ind w:left="100"/>
              <w:rPr>
                <w:b/>
                <w:i/>
                <w:color w:val="FFFFFF"/>
                <w:lang w:val="en-GB"/>
              </w:rPr>
            </w:pPr>
            <w:r w:rsidRPr="00E94510">
              <w:rPr>
                <w:b/>
                <w:i/>
                <w:color w:val="FFFFFF"/>
                <w:lang w:val="en-GB"/>
              </w:rPr>
              <w:t>Myanmar</w:t>
            </w:r>
          </w:p>
        </w:tc>
        <w:tc>
          <w:tcPr>
            <w:tcW w:w="1559" w:type="dxa"/>
            <w:tcBorders>
              <w:top w:val="nil"/>
              <w:left w:val="nil"/>
              <w:bottom w:val="single" w:sz="8" w:space="0" w:color="000000"/>
              <w:right w:val="single" w:sz="8" w:space="0" w:color="000000"/>
            </w:tcBorders>
            <w:tcMar>
              <w:top w:w="20" w:type="dxa"/>
              <w:left w:w="100" w:type="dxa"/>
              <w:bottom w:w="100" w:type="dxa"/>
              <w:right w:w="100" w:type="dxa"/>
            </w:tcMar>
          </w:tcPr>
          <w:p w14:paraId="2F98F4E9" w14:textId="77777777" w:rsidR="00281246" w:rsidRPr="00E94510" w:rsidRDefault="00743AC7">
            <w:pPr>
              <w:widowControl w:val="0"/>
              <w:ind w:left="100"/>
              <w:jc w:val="center"/>
              <w:rPr>
                <w:b/>
                <w:i/>
                <w:color w:val="FFFFFF"/>
                <w:lang w:val="en-GB"/>
              </w:rPr>
            </w:pPr>
            <w:r w:rsidRPr="00E94510">
              <w:rPr>
                <w:b/>
                <w:i/>
                <w:color w:val="FFFFFF"/>
                <w:lang w:val="en-GB"/>
              </w:rPr>
              <w:t>X</w:t>
            </w:r>
          </w:p>
        </w:tc>
        <w:tc>
          <w:tcPr>
            <w:tcW w:w="1701" w:type="dxa"/>
            <w:tcBorders>
              <w:top w:val="nil"/>
              <w:left w:val="nil"/>
              <w:bottom w:val="single" w:sz="8" w:space="0" w:color="000000"/>
              <w:right w:val="single" w:sz="8" w:space="0" w:color="000000"/>
            </w:tcBorders>
            <w:tcMar>
              <w:top w:w="20" w:type="dxa"/>
              <w:left w:w="100" w:type="dxa"/>
              <w:bottom w:w="100" w:type="dxa"/>
              <w:right w:w="100" w:type="dxa"/>
            </w:tcMar>
          </w:tcPr>
          <w:p w14:paraId="19F866FD" w14:textId="77777777" w:rsidR="00281246" w:rsidRPr="00E94510" w:rsidRDefault="00743AC7">
            <w:pPr>
              <w:widowControl w:val="0"/>
              <w:ind w:left="100"/>
              <w:jc w:val="center"/>
              <w:rPr>
                <w:b/>
                <w:i/>
                <w:color w:val="FFFFFF"/>
                <w:lang w:val="en-GB"/>
              </w:rPr>
            </w:pPr>
            <w:r w:rsidRPr="00E94510">
              <w:rPr>
                <w:b/>
                <w:i/>
                <w:color w:val="FFFFFF"/>
                <w:lang w:val="en-GB"/>
              </w:rPr>
              <w:t>-</w:t>
            </w:r>
          </w:p>
        </w:tc>
        <w:tc>
          <w:tcPr>
            <w:tcW w:w="2562" w:type="dxa"/>
            <w:tcBorders>
              <w:top w:val="nil"/>
              <w:left w:val="nil"/>
              <w:bottom w:val="single" w:sz="8" w:space="0" w:color="000000"/>
              <w:right w:val="single" w:sz="8" w:space="0" w:color="000000"/>
            </w:tcBorders>
            <w:tcMar>
              <w:top w:w="20" w:type="dxa"/>
              <w:left w:w="100" w:type="dxa"/>
              <w:bottom w:w="100" w:type="dxa"/>
              <w:right w:w="100" w:type="dxa"/>
            </w:tcMar>
          </w:tcPr>
          <w:p w14:paraId="6993B14E" w14:textId="77777777" w:rsidR="00281246" w:rsidRPr="00E94510" w:rsidRDefault="00743AC7">
            <w:pPr>
              <w:widowControl w:val="0"/>
              <w:ind w:left="100"/>
              <w:jc w:val="center"/>
              <w:rPr>
                <w:b/>
                <w:i/>
                <w:color w:val="FFFFFF"/>
                <w:lang w:val="en-GB"/>
              </w:rPr>
            </w:pPr>
            <w:r w:rsidRPr="00E94510">
              <w:rPr>
                <w:b/>
                <w:i/>
                <w:color w:val="FFFFFF"/>
                <w:lang w:val="en-GB"/>
              </w:rPr>
              <w:t>-</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6205DC6B" w14:textId="46823BB6" w:rsidR="00281246" w:rsidRPr="00E94510" w:rsidRDefault="00CD08F1">
            <w:pPr>
              <w:widowControl w:val="0"/>
              <w:ind w:left="100"/>
              <w:jc w:val="center"/>
              <w:rPr>
                <w:b/>
                <w:i/>
                <w:color w:val="00B050"/>
                <w:lang w:val="en-GB"/>
              </w:rPr>
            </w:pPr>
            <w:r w:rsidRPr="00E94510">
              <w:rPr>
                <w:b/>
                <w:i/>
                <w:color w:val="FFFFFF"/>
                <w:lang w:val="en-GB"/>
              </w:rPr>
              <w:t>-</w:t>
            </w:r>
            <w:r w:rsidR="00743AC7" w:rsidRPr="00E94510">
              <w:rPr>
                <w:b/>
                <w:i/>
                <w:color w:val="00B050"/>
                <w:lang w:val="en-GB"/>
              </w:rPr>
              <w:t xml:space="preserve"> </w:t>
            </w:r>
          </w:p>
        </w:tc>
      </w:tr>
      <w:tr w:rsidR="00281246" w:rsidRPr="00E94510" w14:paraId="039AFFB8" w14:textId="77777777" w:rsidTr="002963B1">
        <w:trPr>
          <w:trHeight w:val="605"/>
        </w:trPr>
        <w:tc>
          <w:tcPr>
            <w:tcW w:w="1603" w:type="dxa"/>
            <w:tcBorders>
              <w:top w:val="nil"/>
              <w:left w:val="single" w:sz="8" w:space="0" w:color="000000"/>
              <w:bottom w:val="single" w:sz="8" w:space="0" w:color="000000"/>
              <w:right w:val="single" w:sz="8" w:space="0" w:color="000000"/>
            </w:tcBorders>
            <w:tcMar>
              <w:top w:w="20" w:type="dxa"/>
              <w:left w:w="100" w:type="dxa"/>
              <w:bottom w:w="100" w:type="dxa"/>
              <w:right w:w="100" w:type="dxa"/>
            </w:tcMar>
          </w:tcPr>
          <w:p w14:paraId="2F1AAC8E" w14:textId="77777777" w:rsidR="00281246" w:rsidRPr="00E94510" w:rsidRDefault="00743AC7">
            <w:pPr>
              <w:widowControl w:val="0"/>
              <w:ind w:left="100"/>
              <w:rPr>
                <w:b/>
                <w:i/>
                <w:color w:val="FFFFFF"/>
                <w:lang w:val="en-GB"/>
              </w:rPr>
            </w:pPr>
            <w:r w:rsidRPr="00E94510">
              <w:rPr>
                <w:b/>
                <w:i/>
                <w:color w:val="FFFFFF"/>
                <w:lang w:val="en-GB"/>
              </w:rPr>
              <w:t>Chile</w:t>
            </w:r>
          </w:p>
        </w:tc>
        <w:tc>
          <w:tcPr>
            <w:tcW w:w="1559" w:type="dxa"/>
            <w:tcBorders>
              <w:top w:val="nil"/>
              <w:left w:val="nil"/>
              <w:bottom w:val="single" w:sz="8" w:space="0" w:color="000000"/>
              <w:right w:val="single" w:sz="8" w:space="0" w:color="000000"/>
            </w:tcBorders>
            <w:tcMar>
              <w:top w:w="20" w:type="dxa"/>
              <w:left w:w="100" w:type="dxa"/>
              <w:bottom w:w="100" w:type="dxa"/>
              <w:right w:w="100" w:type="dxa"/>
            </w:tcMar>
          </w:tcPr>
          <w:p w14:paraId="2D5A85AD" w14:textId="77777777" w:rsidR="00281246" w:rsidRPr="00E94510" w:rsidRDefault="00743AC7">
            <w:pPr>
              <w:widowControl w:val="0"/>
              <w:ind w:left="100"/>
              <w:jc w:val="center"/>
              <w:rPr>
                <w:b/>
                <w:i/>
                <w:color w:val="FFFFFF"/>
                <w:lang w:val="en-GB"/>
              </w:rPr>
            </w:pPr>
            <w:r w:rsidRPr="00E94510">
              <w:rPr>
                <w:b/>
                <w:i/>
                <w:color w:val="FFFFFF"/>
                <w:lang w:val="en-GB"/>
              </w:rPr>
              <w:t>X</w:t>
            </w:r>
          </w:p>
        </w:tc>
        <w:tc>
          <w:tcPr>
            <w:tcW w:w="1701" w:type="dxa"/>
            <w:tcBorders>
              <w:top w:val="nil"/>
              <w:left w:val="nil"/>
              <w:bottom w:val="single" w:sz="8" w:space="0" w:color="000000"/>
              <w:right w:val="single" w:sz="8" w:space="0" w:color="000000"/>
            </w:tcBorders>
            <w:tcMar>
              <w:top w:w="20" w:type="dxa"/>
              <w:left w:w="100" w:type="dxa"/>
              <w:bottom w:w="100" w:type="dxa"/>
              <w:right w:w="100" w:type="dxa"/>
            </w:tcMar>
          </w:tcPr>
          <w:p w14:paraId="04C6F945" w14:textId="5C0F50E5" w:rsidR="00281246" w:rsidRPr="00E94510" w:rsidRDefault="00CD08F1" w:rsidP="00CD08F1">
            <w:pPr>
              <w:widowControl w:val="0"/>
              <w:spacing w:before="117"/>
              <w:ind w:left="100"/>
              <w:jc w:val="center"/>
              <w:rPr>
                <w:i/>
                <w:color w:val="00B050"/>
                <w:lang w:val="en-GB"/>
              </w:rPr>
            </w:pPr>
            <w:r w:rsidRPr="00E94510">
              <w:rPr>
                <w:b/>
                <w:i/>
                <w:color w:val="FFFFFF"/>
                <w:lang w:val="en-GB"/>
              </w:rPr>
              <w:t>-</w:t>
            </w:r>
          </w:p>
        </w:tc>
        <w:tc>
          <w:tcPr>
            <w:tcW w:w="2562" w:type="dxa"/>
            <w:tcBorders>
              <w:top w:val="nil"/>
              <w:left w:val="nil"/>
              <w:bottom w:val="single" w:sz="8" w:space="0" w:color="000000"/>
              <w:right w:val="single" w:sz="8" w:space="0" w:color="000000"/>
            </w:tcBorders>
            <w:tcMar>
              <w:top w:w="20" w:type="dxa"/>
              <w:left w:w="100" w:type="dxa"/>
              <w:bottom w:w="100" w:type="dxa"/>
              <w:right w:w="100" w:type="dxa"/>
            </w:tcMar>
          </w:tcPr>
          <w:p w14:paraId="6055811D" w14:textId="77777777" w:rsidR="00281246" w:rsidRPr="00E94510" w:rsidRDefault="00743AC7">
            <w:pPr>
              <w:widowControl w:val="0"/>
              <w:ind w:left="100"/>
              <w:jc w:val="center"/>
              <w:rPr>
                <w:b/>
                <w:i/>
                <w:color w:val="FFFFFF"/>
                <w:lang w:val="en-GB"/>
              </w:rPr>
            </w:pPr>
            <w:r w:rsidRPr="00E94510">
              <w:rPr>
                <w:b/>
                <w:i/>
                <w:color w:val="FFFFFF"/>
                <w:lang w:val="en-GB"/>
              </w:rPr>
              <w:t>-</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4B472674" w14:textId="529F5B66" w:rsidR="00281246" w:rsidRPr="00E94510" w:rsidRDefault="00743AC7">
            <w:pPr>
              <w:widowControl w:val="0"/>
              <w:ind w:left="100"/>
              <w:jc w:val="center"/>
              <w:rPr>
                <w:b/>
                <w:i/>
                <w:color w:val="00B050"/>
                <w:lang w:val="en-GB"/>
              </w:rPr>
            </w:pPr>
            <w:r w:rsidRPr="00E94510">
              <w:rPr>
                <w:b/>
                <w:i/>
                <w:color w:val="00B050"/>
                <w:lang w:val="en-GB"/>
              </w:rPr>
              <w:t xml:space="preserve"> </w:t>
            </w:r>
            <w:r w:rsidR="00CD08F1" w:rsidRPr="00E94510">
              <w:rPr>
                <w:b/>
                <w:i/>
                <w:color w:val="FFFFFF"/>
                <w:lang w:val="en-GB"/>
              </w:rPr>
              <w:t>-</w:t>
            </w:r>
          </w:p>
        </w:tc>
      </w:tr>
      <w:tr w:rsidR="00A4027D" w:rsidRPr="00E94510" w14:paraId="3478C2FB" w14:textId="77777777" w:rsidTr="002963B1">
        <w:trPr>
          <w:trHeight w:val="605"/>
        </w:trPr>
        <w:tc>
          <w:tcPr>
            <w:tcW w:w="1603" w:type="dxa"/>
            <w:tcBorders>
              <w:top w:val="nil"/>
              <w:left w:val="single" w:sz="8" w:space="0" w:color="000000"/>
              <w:bottom w:val="single" w:sz="8" w:space="0" w:color="000000"/>
              <w:right w:val="single" w:sz="8" w:space="0" w:color="000000"/>
            </w:tcBorders>
            <w:tcMar>
              <w:top w:w="20" w:type="dxa"/>
              <w:left w:w="100" w:type="dxa"/>
              <w:bottom w:w="100" w:type="dxa"/>
              <w:right w:w="100" w:type="dxa"/>
            </w:tcMar>
          </w:tcPr>
          <w:p w14:paraId="2176C918" w14:textId="5C1FBBDE" w:rsidR="00A4027D" w:rsidRPr="00E94510" w:rsidRDefault="00A4027D" w:rsidP="00A4027D">
            <w:pPr>
              <w:widowControl w:val="0"/>
              <w:ind w:left="100"/>
              <w:rPr>
                <w:b/>
                <w:i/>
                <w:color w:val="FFFFFF"/>
                <w:lang w:val="en-GB"/>
              </w:rPr>
            </w:pPr>
            <w:r w:rsidRPr="00E94510">
              <w:rPr>
                <w:b/>
                <w:i/>
                <w:color w:val="FFFFFF"/>
                <w:lang w:val="en-GB"/>
              </w:rPr>
              <w:t>Thailand</w:t>
            </w:r>
          </w:p>
        </w:tc>
        <w:tc>
          <w:tcPr>
            <w:tcW w:w="1559" w:type="dxa"/>
            <w:tcBorders>
              <w:top w:val="nil"/>
              <w:left w:val="nil"/>
              <w:bottom w:val="single" w:sz="8" w:space="0" w:color="000000"/>
              <w:right w:val="single" w:sz="8" w:space="0" w:color="000000"/>
            </w:tcBorders>
            <w:tcMar>
              <w:top w:w="20" w:type="dxa"/>
              <w:left w:w="100" w:type="dxa"/>
              <w:bottom w:w="100" w:type="dxa"/>
              <w:right w:w="100" w:type="dxa"/>
            </w:tcMar>
          </w:tcPr>
          <w:p w14:paraId="650D565D" w14:textId="48772624" w:rsidR="00A4027D" w:rsidRPr="00E94510" w:rsidRDefault="00A4027D" w:rsidP="00A4027D">
            <w:pPr>
              <w:widowControl w:val="0"/>
              <w:ind w:left="100"/>
              <w:jc w:val="center"/>
              <w:rPr>
                <w:b/>
                <w:i/>
                <w:color w:val="FFFFFF"/>
                <w:lang w:val="en-GB"/>
              </w:rPr>
            </w:pPr>
            <w:r w:rsidRPr="00E94510">
              <w:rPr>
                <w:b/>
                <w:i/>
                <w:color w:val="FFFFFF"/>
                <w:lang w:val="en-GB"/>
              </w:rPr>
              <w:t>X</w:t>
            </w:r>
          </w:p>
        </w:tc>
        <w:tc>
          <w:tcPr>
            <w:tcW w:w="1701" w:type="dxa"/>
            <w:tcBorders>
              <w:top w:val="nil"/>
              <w:left w:val="nil"/>
              <w:bottom w:val="single" w:sz="8" w:space="0" w:color="000000"/>
              <w:right w:val="single" w:sz="8" w:space="0" w:color="000000"/>
            </w:tcBorders>
            <w:tcMar>
              <w:top w:w="20" w:type="dxa"/>
              <w:left w:w="100" w:type="dxa"/>
              <w:bottom w:w="100" w:type="dxa"/>
              <w:right w:w="100" w:type="dxa"/>
            </w:tcMar>
          </w:tcPr>
          <w:p w14:paraId="4BB713E9" w14:textId="1DFEFB89" w:rsidR="00A4027D" w:rsidRPr="00E94510" w:rsidRDefault="00A4027D" w:rsidP="00A4027D">
            <w:pPr>
              <w:widowControl w:val="0"/>
              <w:spacing w:before="117"/>
              <w:ind w:left="100"/>
              <w:jc w:val="center"/>
              <w:rPr>
                <w:b/>
                <w:i/>
                <w:color w:val="FFFFFF"/>
                <w:lang w:val="en-GB"/>
              </w:rPr>
            </w:pPr>
            <w:r w:rsidRPr="00E94510">
              <w:rPr>
                <w:b/>
                <w:i/>
                <w:color w:val="FFFFFF"/>
                <w:lang w:val="en-GB"/>
              </w:rPr>
              <w:t>X</w:t>
            </w:r>
          </w:p>
        </w:tc>
        <w:tc>
          <w:tcPr>
            <w:tcW w:w="2562" w:type="dxa"/>
            <w:tcBorders>
              <w:top w:val="nil"/>
              <w:left w:val="nil"/>
              <w:bottom w:val="single" w:sz="8" w:space="0" w:color="000000"/>
              <w:right w:val="single" w:sz="8" w:space="0" w:color="000000"/>
            </w:tcBorders>
            <w:tcMar>
              <w:top w:w="20" w:type="dxa"/>
              <w:left w:w="100" w:type="dxa"/>
              <w:bottom w:w="100" w:type="dxa"/>
              <w:right w:w="100" w:type="dxa"/>
            </w:tcMar>
          </w:tcPr>
          <w:p w14:paraId="4983C196" w14:textId="5A04830C" w:rsidR="00A4027D" w:rsidRPr="00E94510" w:rsidRDefault="00A4027D" w:rsidP="00A4027D">
            <w:pPr>
              <w:widowControl w:val="0"/>
              <w:ind w:left="100"/>
              <w:jc w:val="center"/>
              <w:rPr>
                <w:b/>
                <w:i/>
                <w:color w:val="FFFFFF"/>
                <w:lang w:val="en-GB"/>
              </w:rPr>
            </w:pPr>
            <w:r w:rsidRPr="00E94510">
              <w:rPr>
                <w:b/>
                <w:i/>
                <w:color w:val="FFFFFF"/>
                <w:lang w:val="en-GB"/>
              </w:rPr>
              <w:t>-</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5EA67F91" w14:textId="7A2439C0" w:rsidR="00A4027D" w:rsidRPr="00E94510" w:rsidRDefault="00A4027D" w:rsidP="00A4027D">
            <w:pPr>
              <w:widowControl w:val="0"/>
              <w:ind w:left="100"/>
              <w:jc w:val="center"/>
              <w:rPr>
                <w:b/>
                <w:i/>
                <w:color w:val="00B050"/>
                <w:lang w:val="en-GB"/>
              </w:rPr>
            </w:pPr>
            <w:r w:rsidRPr="00E94510">
              <w:rPr>
                <w:b/>
                <w:i/>
                <w:color w:val="FFFFFF"/>
                <w:lang w:val="en-GB"/>
              </w:rPr>
              <w:t>-</w:t>
            </w:r>
            <w:r w:rsidRPr="00E94510">
              <w:rPr>
                <w:b/>
                <w:i/>
                <w:color w:val="00B050"/>
                <w:lang w:val="en-GB"/>
              </w:rPr>
              <w:t xml:space="preserve"> </w:t>
            </w:r>
          </w:p>
        </w:tc>
      </w:tr>
      <w:tr w:rsidR="00A4027D" w:rsidRPr="00A4027D" w14:paraId="34940F2D" w14:textId="77777777" w:rsidTr="002963B1">
        <w:trPr>
          <w:trHeight w:val="605"/>
        </w:trPr>
        <w:tc>
          <w:tcPr>
            <w:tcW w:w="1603" w:type="dxa"/>
            <w:tcBorders>
              <w:top w:val="nil"/>
              <w:left w:val="single" w:sz="8" w:space="0" w:color="000000"/>
              <w:bottom w:val="single" w:sz="8" w:space="0" w:color="000000"/>
              <w:right w:val="single" w:sz="8" w:space="0" w:color="000000"/>
            </w:tcBorders>
            <w:tcMar>
              <w:top w:w="20" w:type="dxa"/>
              <w:left w:w="100" w:type="dxa"/>
              <w:bottom w:w="100" w:type="dxa"/>
              <w:right w:w="100" w:type="dxa"/>
            </w:tcMar>
          </w:tcPr>
          <w:p w14:paraId="15EF4F22" w14:textId="77777777" w:rsidR="00A4027D" w:rsidRDefault="00A4027D" w:rsidP="00A4027D">
            <w:pPr>
              <w:widowControl w:val="0"/>
              <w:ind w:left="100"/>
              <w:rPr>
                <w:b/>
                <w:i/>
                <w:color w:val="FFFFFF"/>
                <w:lang w:val="en-GB"/>
              </w:rPr>
            </w:pPr>
            <w:r>
              <w:rPr>
                <w:b/>
                <w:i/>
                <w:color w:val="FFFFFF"/>
                <w:lang w:val="en-GB"/>
              </w:rPr>
              <w:t>Taiwan</w:t>
            </w:r>
          </w:p>
          <w:p w14:paraId="77B30BC4" w14:textId="418B3EA6" w:rsidR="00A4027D" w:rsidRPr="0022385C" w:rsidRDefault="00A4027D" w:rsidP="0022385C">
            <w:pPr>
              <w:widowControl w:val="0"/>
              <w:jc w:val="left"/>
              <w:rPr>
                <w:b/>
                <w:i/>
                <w:color w:val="FFFFFF"/>
                <w:sz w:val="16"/>
                <w:szCs w:val="16"/>
                <w:lang w:val="en-GB"/>
              </w:rPr>
            </w:pPr>
            <w:r w:rsidRPr="0022385C">
              <w:rPr>
                <w:b/>
                <w:i/>
                <w:color w:val="FFFFFF"/>
                <w:sz w:val="16"/>
                <w:szCs w:val="16"/>
                <w:lang w:val="en-GB"/>
              </w:rPr>
              <w:t xml:space="preserve"> </w:t>
            </w:r>
            <w:r w:rsidRPr="0022385C">
              <w:rPr>
                <w:bCs/>
                <w:iCs/>
                <w:color w:val="FFFFFF"/>
                <w:sz w:val="16"/>
                <w:szCs w:val="16"/>
                <w:lang w:val="en-GB"/>
              </w:rPr>
              <w:t>(It is not a member of UN)</w:t>
            </w:r>
          </w:p>
        </w:tc>
        <w:tc>
          <w:tcPr>
            <w:tcW w:w="1559" w:type="dxa"/>
            <w:tcBorders>
              <w:top w:val="nil"/>
              <w:left w:val="nil"/>
              <w:bottom w:val="single" w:sz="8" w:space="0" w:color="000000"/>
              <w:right w:val="single" w:sz="8" w:space="0" w:color="000000"/>
            </w:tcBorders>
            <w:tcMar>
              <w:top w:w="20" w:type="dxa"/>
              <w:left w:w="100" w:type="dxa"/>
              <w:bottom w:w="100" w:type="dxa"/>
              <w:right w:w="100" w:type="dxa"/>
            </w:tcMar>
          </w:tcPr>
          <w:p w14:paraId="2AD75078" w14:textId="1DFFCB17" w:rsidR="00A4027D" w:rsidRPr="00E94510" w:rsidRDefault="00A4027D" w:rsidP="00A4027D">
            <w:pPr>
              <w:widowControl w:val="0"/>
              <w:ind w:left="100"/>
              <w:jc w:val="center"/>
              <w:rPr>
                <w:b/>
                <w:i/>
                <w:color w:val="FFFFFF"/>
                <w:lang w:val="en-GB"/>
              </w:rPr>
            </w:pPr>
            <w:r w:rsidRPr="00AC47EB">
              <w:rPr>
                <w:b/>
                <w:i/>
                <w:color w:val="FFFFFF"/>
                <w:lang w:val="en-GB"/>
              </w:rPr>
              <w:t>-</w:t>
            </w:r>
          </w:p>
        </w:tc>
        <w:tc>
          <w:tcPr>
            <w:tcW w:w="1701" w:type="dxa"/>
            <w:tcBorders>
              <w:top w:val="nil"/>
              <w:left w:val="nil"/>
              <w:bottom w:val="single" w:sz="8" w:space="0" w:color="000000"/>
              <w:right w:val="single" w:sz="8" w:space="0" w:color="000000"/>
            </w:tcBorders>
            <w:tcMar>
              <w:top w:w="20" w:type="dxa"/>
              <w:left w:w="100" w:type="dxa"/>
              <w:bottom w:w="100" w:type="dxa"/>
              <w:right w:w="100" w:type="dxa"/>
            </w:tcMar>
          </w:tcPr>
          <w:p w14:paraId="2136E596" w14:textId="791F01FA" w:rsidR="00A4027D" w:rsidRPr="00E94510" w:rsidRDefault="00A4027D" w:rsidP="00A4027D">
            <w:pPr>
              <w:widowControl w:val="0"/>
              <w:spacing w:before="117"/>
              <w:ind w:left="100"/>
              <w:jc w:val="center"/>
              <w:rPr>
                <w:b/>
                <w:i/>
                <w:color w:val="FFFFFF"/>
                <w:lang w:val="en-GB"/>
              </w:rPr>
            </w:pPr>
            <w:r w:rsidRPr="00AC47EB">
              <w:rPr>
                <w:b/>
                <w:i/>
                <w:color w:val="FFFFFF"/>
                <w:lang w:val="en-GB"/>
              </w:rPr>
              <w:t>-</w:t>
            </w:r>
          </w:p>
        </w:tc>
        <w:tc>
          <w:tcPr>
            <w:tcW w:w="2562" w:type="dxa"/>
            <w:tcBorders>
              <w:top w:val="nil"/>
              <w:left w:val="nil"/>
              <w:bottom w:val="single" w:sz="8" w:space="0" w:color="000000"/>
              <w:right w:val="single" w:sz="8" w:space="0" w:color="000000"/>
            </w:tcBorders>
            <w:tcMar>
              <w:top w:w="20" w:type="dxa"/>
              <w:left w:w="100" w:type="dxa"/>
              <w:bottom w:w="100" w:type="dxa"/>
              <w:right w:w="100" w:type="dxa"/>
            </w:tcMar>
          </w:tcPr>
          <w:p w14:paraId="521264BD" w14:textId="359BBEBE" w:rsidR="00A4027D" w:rsidRPr="00E94510" w:rsidRDefault="00A4027D" w:rsidP="00A4027D">
            <w:pPr>
              <w:widowControl w:val="0"/>
              <w:ind w:left="100"/>
              <w:jc w:val="center"/>
              <w:rPr>
                <w:b/>
                <w:i/>
                <w:color w:val="FFFFFF"/>
                <w:lang w:val="en-GB"/>
              </w:rPr>
            </w:pPr>
            <w:r w:rsidRPr="00AC47EB">
              <w:rPr>
                <w:b/>
                <w:i/>
                <w:color w:val="FFFFFF"/>
                <w:lang w:val="en-GB"/>
              </w:rPr>
              <w:t>-</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26AF77CF" w14:textId="32F160A8" w:rsidR="00A4027D" w:rsidRPr="00E94510" w:rsidRDefault="00A4027D" w:rsidP="00A4027D">
            <w:pPr>
              <w:widowControl w:val="0"/>
              <w:ind w:left="100"/>
              <w:jc w:val="center"/>
              <w:rPr>
                <w:b/>
                <w:i/>
                <w:color w:val="00B050"/>
                <w:lang w:val="en-GB"/>
              </w:rPr>
            </w:pPr>
            <w:r w:rsidRPr="00AC47EB">
              <w:rPr>
                <w:b/>
                <w:i/>
                <w:color w:val="FFFFFF"/>
                <w:lang w:val="en-GB"/>
              </w:rPr>
              <w:t>-</w:t>
            </w:r>
          </w:p>
        </w:tc>
      </w:tr>
      <w:tr w:rsidR="00A4027D" w:rsidRPr="004B3125" w14:paraId="1189C3C7" w14:textId="77777777" w:rsidTr="002963B1">
        <w:trPr>
          <w:trHeight w:val="605"/>
        </w:trPr>
        <w:tc>
          <w:tcPr>
            <w:tcW w:w="1603" w:type="dxa"/>
            <w:tcBorders>
              <w:top w:val="nil"/>
              <w:left w:val="single" w:sz="8" w:space="0" w:color="000000"/>
              <w:bottom w:val="single" w:sz="8" w:space="0" w:color="000000"/>
              <w:right w:val="single" w:sz="8" w:space="0" w:color="000000"/>
            </w:tcBorders>
            <w:tcMar>
              <w:top w:w="20" w:type="dxa"/>
              <w:left w:w="100" w:type="dxa"/>
              <w:bottom w:w="100" w:type="dxa"/>
              <w:right w:w="100" w:type="dxa"/>
            </w:tcMar>
          </w:tcPr>
          <w:p w14:paraId="6C036C1A" w14:textId="7C08B767" w:rsidR="00A4027D" w:rsidRPr="00E94510" w:rsidRDefault="00A4027D" w:rsidP="00A4027D">
            <w:pPr>
              <w:widowControl w:val="0"/>
              <w:ind w:left="100"/>
              <w:rPr>
                <w:b/>
                <w:i/>
                <w:color w:val="FFFFFF"/>
                <w:lang w:val="en-GB"/>
              </w:rPr>
            </w:pPr>
            <w:r>
              <w:rPr>
                <w:b/>
                <w:i/>
                <w:color w:val="FFFFFF"/>
                <w:lang w:val="en-GB"/>
              </w:rPr>
              <w:t>Ecuador</w:t>
            </w:r>
          </w:p>
        </w:tc>
        <w:tc>
          <w:tcPr>
            <w:tcW w:w="1559" w:type="dxa"/>
            <w:tcBorders>
              <w:top w:val="nil"/>
              <w:left w:val="nil"/>
              <w:bottom w:val="single" w:sz="8" w:space="0" w:color="000000"/>
              <w:right w:val="single" w:sz="8" w:space="0" w:color="000000"/>
            </w:tcBorders>
            <w:tcMar>
              <w:top w:w="20" w:type="dxa"/>
              <w:left w:w="100" w:type="dxa"/>
              <w:bottom w:w="100" w:type="dxa"/>
              <w:right w:w="100" w:type="dxa"/>
            </w:tcMar>
          </w:tcPr>
          <w:p w14:paraId="5A570A92" w14:textId="5C7483DF" w:rsidR="00A4027D" w:rsidRPr="00E94510" w:rsidRDefault="00A4027D" w:rsidP="00A4027D">
            <w:pPr>
              <w:widowControl w:val="0"/>
              <w:ind w:left="100"/>
              <w:jc w:val="center"/>
              <w:rPr>
                <w:b/>
                <w:i/>
                <w:color w:val="FFFFFF"/>
                <w:lang w:val="en-GB"/>
              </w:rPr>
            </w:pPr>
            <w:r w:rsidRPr="00774598">
              <w:rPr>
                <w:b/>
                <w:i/>
                <w:color w:val="FFFFFF"/>
                <w:lang w:val="en-GB"/>
              </w:rPr>
              <w:t>-</w:t>
            </w:r>
          </w:p>
        </w:tc>
        <w:tc>
          <w:tcPr>
            <w:tcW w:w="1701" w:type="dxa"/>
            <w:tcBorders>
              <w:top w:val="nil"/>
              <w:left w:val="nil"/>
              <w:bottom w:val="single" w:sz="8" w:space="0" w:color="000000"/>
              <w:right w:val="single" w:sz="8" w:space="0" w:color="000000"/>
            </w:tcBorders>
            <w:tcMar>
              <w:top w:w="20" w:type="dxa"/>
              <w:left w:w="100" w:type="dxa"/>
              <w:bottom w:w="100" w:type="dxa"/>
              <w:right w:w="100" w:type="dxa"/>
            </w:tcMar>
          </w:tcPr>
          <w:p w14:paraId="583D56E2" w14:textId="7CF3F3F9" w:rsidR="00A4027D" w:rsidRPr="00E94510" w:rsidRDefault="00A4027D" w:rsidP="00A4027D">
            <w:pPr>
              <w:widowControl w:val="0"/>
              <w:spacing w:before="117"/>
              <w:ind w:left="100"/>
              <w:jc w:val="center"/>
              <w:rPr>
                <w:b/>
                <w:i/>
                <w:color w:val="FFFFFF"/>
                <w:lang w:val="en-GB"/>
              </w:rPr>
            </w:pPr>
            <w:r w:rsidRPr="00774598">
              <w:rPr>
                <w:b/>
                <w:i/>
                <w:color w:val="FFFFFF"/>
                <w:lang w:val="en-GB"/>
              </w:rPr>
              <w:t>-</w:t>
            </w:r>
          </w:p>
        </w:tc>
        <w:tc>
          <w:tcPr>
            <w:tcW w:w="2562" w:type="dxa"/>
            <w:tcBorders>
              <w:top w:val="nil"/>
              <w:left w:val="nil"/>
              <w:bottom w:val="single" w:sz="8" w:space="0" w:color="000000"/>
              <w:right w:val="single" w:sz="8" w:space="0" w:color="000000"/>
            </w:tcBorders>
            <w:tcMar>
              <w:top w:w="20" w:type="dxa"/>
              <w:left w:w="100" w:type="dxa"/>
              <w:bottom w:w="100" w:type="dxa"/>
              <w:right w:w="100" w:type="dxa"/>
            </w:tcMar>
          </w:tcPr>
          <w:p w14:paraId="443AFFC2" w14:textId="3CE8A731" w:rsidR="00A4027D" w:rsidRPr="00E94510" w:rsidRDefault="00A4027D" w:rsidP="00A4027D">
            <w:pPr>
              <w:widowControl w:val="0"/>
              <w:ind w:left="100"/>
              <w:jc w:val="center"/>
              <w:rPr>
                <w:b/>
                <w:i/>
                <w:color w:val="FFFFFF"/>
                <w:lang w:val="en-GB"/>
              </w:rPr>
            </w:pPr>
            <w:r w:rsidRPr="00E94510">
              <w:rPr>
                <w:b/>
                <w:i/>
                <w:color w:val="FFFFFF"/>
                <w:lang w:val="en-GB"/>
              </w:rPr>
              <w:t>X</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26727F48" w14:textId="2E2B3AE4" w:rsidR="00A4027D" w:rsidRPr="00A4027D" w:rsidRDefault="00A4027D" w:rsidP="00A4027D">
            <w:pPr>
              <w:widowControl w:val="0"/>
              <w:ind w:left="100"/>
              <w:jc w:val="center"/>
              <w:rPr>
                <w:b/>
                <w:iCs/>
                <w:color w:val="00B050"/>
                <w:lang w:val="en-GB"/>
              </w:rPr>
            </w:pPr>
            <w:r w:rsidRPr="00A4027D">
              <w:rPr>
                <w:b/>
                <w:iCs/>
                <w:color w:val="FFFFFF" w:themeColor="background1"/>
                <w:lang w:val="en-GB"/>
              </w:rPr>
              <w:t>Ecuador has signed the declaration signalling their intent to ratify the agreement</w:t>
            </w:r>
          </w:p>
        </w:tc>
      </w:tr>
      <w:tr w:rsidR="00A4027D" w:rsidRPr="004B3125" w14:paraId="41A5867D" w14:textId="77777777" w:rsidTr="002963B1">
        <w:trPr>
          <w:trHeight w:val="605"/>
        </w:trPr>
        <w:tc>
          <w:tcPr>
            <w:tcW w:w="1603" w:type="dxa"/>
            <w:tcBorders>
              <w:top w:val="nil"/>
              <w:left w:val="single" w:sz="8" w:space="0" w:color="000000"/>
              <w:bottom w:val="single" w:sz="8" w:space="0" w:color="000000"/>
              <w:right w:val="single" w:sz="8" w:space="0" w:color="000000"/>
            </w:tcBorders>
            <w:tcMar>
              <w:top w:w="20" w:type="dxa"/>
              <w:left w:w="100" w:type="dxa"/>
              <w:bottom w:w="100" w:type="dxa"/>
              <w:right w:w="100" w:type="dxa"/>
            </w:tcMar>
          </w:tcPr>
          <w:p w14:paraId="6C50E592" w14:textId="6295BECE" w:rsidR="00A4027D" w:rsidRPr="00E94510" w:rsidRDefault="00A4027D" w:rsidP="00A4027D">
            <w:pPr>
              <w:widowControl w:val="0"/>
              <w:ind w:left="100"/>
              <w:rPr>
                <w:b/>
                <w:i/>
                <w:color w:val="FFFFFF"/>
                <w:lang w:val="en-GB"/>
              </w:rPr>
            </w:pPr>
            <w:r>
              <w:rPr>
                <w:b/>
                <w:i/>
                <w:color w:val="FFFFFF"/>
                <w:lang w:val="en-GB"/>
              </w:rPr>
              <w:t>Panama</w:t>
            </w:r>
          </w:p>
        </w:tc>
        <w:tc>
          <w:tcPr>
            <w:tcW w:w="1559" w:type="dxa"/>
            <w:tcBorders>
              <w:top w:val="nil"/>
              <w:left w:val="nil"/>
              <w:bottom w:val="single" w:sz="8" w:space="0" w:color="000000"/>
              <w:right w:val="single" w:sz="8" w:space="0" w:color="000000"/>
            </w:tcBorders>
            <w:tcMar>
              <w:top w:w="20" w:type="dxa"/>
              <w:left w:w="100" w:type="dxa"/>
              <w:bottom w:w="100" w:type="dxa"/>
              <w:right w:w="100" w:type="dxa"/>
            </w:tcMar>
          </w:tcPr>
          <w:p w14:paraId="768406ED" w14:textId="4462C483" w:rsidR="00A4027D" w:rsidRPr="00E94510" w:rsidRDefault="00A4027D" w:rsidP="00A4027D">
            <w:pPr>
              <w:widowControl w:val="0"/>
              <w:ind w:left="100"/>
              <w:jc w:val="center"/>
              <w:rPr>
                <w:b/>
                <w:i/>
                <w:color w:val="FFFFFF"/>
                <w:lang w:val="en-GB"/>
              </w:rPr>
            </w:pPr>
            <w:r w:rsidRPr="00E94510">
              <w:rPr>
                <w:b/>
                <w:i/>
                <w:color w:val="FFFFFF"/>
                <w:lang w:val="en-GB"/>
              </w:rPr>
              <w:t>X</w:t>
            </w:r>
          </w:p>
        </w:tc>
        <w:tc>
          <w:tcPr>
            <w:tcW w:w="1701" w:type="dxa"/>
            <w:tcBorders>
              <w:top w:val="nil"/>
              <w:left w:val="nil"/>
              <w:bottom w:val="single" w:sz="8" w:space="0" w:color="000000"/>
              <w:right w:val="single" w:sz="8" w:space="0" w:color="000000"/>
            </w:tcBorders>
            <w:tcMar>
              <w:top w:w="20" w:type="dxa"/>
              <w:left w:w="100" w:type="dxa"/>
              <w:bottom w:w="100" w:type="dxa"/>
              <w:right w:w="100" w:type="dxa"/>
            </w:tcMar>
          </w:tcPr>
          <w:p w14:paraId="420A99B9" w14:textId="0071080F" w:rsidR="00A4027D" w:rsidRPr="00E94510" w:rsidRDefault="00A4027D" w:rsidP="00A4027D">
            <w:pPr>
              <w:widowControl w:val="0"/>
              <w:ind w:left="100"/>
              <w:jc w:val="center"/>
              <w:rPr>
                <w:b/>
                <w:i/>
                <w:color w:val="FFFFFF"/>
                <w:lang w:val="en-GB"/>
              </w:rPr>
            </w:pPr>
            <w:r w:rsidRPr="001C4DB5">
              <w:rPr>
                <w:b/>
                <w:i/>
                <w:color w:val="FFFFFF"/>
                <w:lang w:val="en-GB"/>
              </w:rPr>
              <w:t>-</w:t>
            </w:r>
          </w:p>
        </w:tc>
        <w:tc>
          <w:tcPr>
            <w:tcW w:w="2562" w:type="dxa"/>
            <w:tcBorders>
              <w:top w:val="nil"/>
              <w:left w:val="nil"/>
              <w:bottom w:val="single" w:sz="8" w:space="0" w:color="000000"/>
              <w:right w:val="single" w:sz="8" w:space="0" w:color="000000"/>
            </w:tcBorders>
            <w:tcMar>
              <w:top w:w="20" w:type="dxa"/>
              <w:left w:w="100" w:type="dxa"/>
              <w:bottom w:w="100" w:type="dxa"/>
              <w:right w:w="100" w:type="dxa"/>
            </w:tcMar>
          </w:tcPr>
          <w:p w14:paraId="2BB83024" w14:textId="0B4ECF64" w:rsidR="00A4027D" w:rsidRPr="0075424A" w:rsidRDefault="00A4027D" w:rsidP="00A4027D">
            <w:pPr>
              <w:widowControl w:val="0"/>
              <w:ind w:left="100"/>
              <w:jc w:val="center"/>
              <w:rPr>
                <w:b/>
                <w:i/>
                <w:color w:val="FFFFFF" w:themeColor="background1"/>
                <w:lang w:val="en-GB"/>
              </w:rPr>
            </w:pPr>
            <w:r w:rsidRPr="0075424A">
              <w:rPr>
                <w:b/>
                <w:i/>
                <w:color w:val="FFFFFF" w:themeColor="background1"/>
                <w:lang w:val="en-GB"/>
              </w:rPr>
              <w:t>-</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541B9810" w14:textId="78A64881" w:rsidR="00A4027D" w:rsidRPr="0075424A" w:rsidRDefault="0075424A" w:rsidP="00A4027D">
            <w:pPr>
              <w:widowControl w:val="0"/>
              <w:ind w:left="100"/>
              <w:jc w:val="center"/>
              <w:rPr>
                <w:b/>
                <w:i/>
                <w:color w:val="FFFFFF" w:themeColor="background1"/>
                <w:lang w:val="en-GB"/>
              </w:rPr>
            </w:pPr>
            <w:r w:rsidRPr="0075424A">
              <w:rPr>
                <w:b/>
                <w:i/>
                <w:color w:val="FFFFFF" w:themeColor="background1"/>
                <w:lang w:val="en-GB"/>
              </w:rPr>
              <w:t>Panam</w:t>
            </w:r>
            <w:r>
              <w:rPr>
                <w:b/>
                <w:i/>
                <w:color w:val="FFFFFF" w:themeColor="background1"/>
                <w:lang w:val="en-GB"/>
              </w:rPr>
              <w:t>a</w:t>
            </w:r>
            <w:r w:rsidRPr="0075424A">
              <w:rPr>
                <w:b/>
                <w:i/>
                <w:color w:val="FFFFFF" w:themeColor="background1"/>
                <w:lang w:val="en-GB"/>
              </w:rPr>
              <w:t xml:space="preserve"> has signed the declaration signalling their intent to ratify the agreement</w:t>
            </w:r>
          </w:p>
        </w:tc>
      </w:tr>
    </w:tbl>
    <w:p w14:paraId="06237B40" w14:textId="77777777" w:rsidR="00EA1A75" w:rsidRDefault="00EA1A75" w:rsidP="00A435BF">
      <w:pPr>
        <w:rPr>
          <w:b/>
          <w:bCs/>
          <w:u w:val="single"/>
          <w:lang w:val="en-GB"/>
        </w:rPr>
      </w:pPr>
    </w:p>
    <w:p w14:paraId="64666050" w14:textId="77777777" w:rsidR="0021486C" w:rsidRDefault="0021486C" w:rsidP="00A435BF">
      <w:pPr>
        <w:rPr>
          <w:b/>
          <w:bCs/>
          <w:u w:val="single"/>
          <w:lang w:val="en-GB"/>
        </w:rPr>
      </w:pPr>
    </w:p>
    <w:p w14:paraId="22E96440" w14:textId="02ADE63D" w:rsidR="004D13DE" w:rsidRDefault="004D13DE" w:rsidP="00A435BF">
      <w:pPr>
        <w:rPr>
          <w:b/>
          <w:lang w:val="en-GB"/>
        </w:rPr>
      </w:pPr>
      <w:r w:rsidRPr="00EA1A75">
        <w:rPr>
          <w:b/>
          <w:bCs/>
          <w:u w:val="single"/>
          <w:lang w:val="en-GB"/>
        </w:rPr>
        <w:lastRenderedPageBreak/>
        <w:t>ANNEX II</w:t>
      </w:r>
      <w:r w:rsidRPr="004D13DE">
        <w:rPr>
          <w:b/>
          <w:bCs/>
          <w:lang w:val="en-GB"/>
        </w:rPr>
        <w:t>:</w:t>
      </w:r>
      <w:r>
        <w:rPr>
          <w:lang w:val="en-GB"/>
        </w:rPr>
        <w:t xml:space="preserve"> </w:t>
      </w:r>
      <w:r w:rsidRPr="004D13DE">
        <w:rPr>
          <w:b/>
          <w:lang w:val="en-GB"/>
        </w:rPr>
        <w:t xml:space="preserve">Comparative </w:t>
      </w:r>
      <w:r w:rsidRPr="004D13DE">
        <w:rPr>
          <w:b/>
          <w:highlight w:val="white"/>
          <w:lang w:val="en-GB"/>
        </w:rPr>
        <w:t>table of FADs and technical measures for tuna RFMOs</w:t>
      </w:r>
      <w:r>
        <w:rPr>
          <w:rStyle w:val="FootnoteReference"/>
          <w:b/>
          <w:highlight w:val="white"/>
          <w:lang w:val="en-GB"/>
        </w:rPr>
        <w:footnoteReference w:id="120"/>
      </w:r>
    </w:p>
    <w:tbl>
      <w:tblPr>
        <w:tblW w:w="9771" w:type="dxa"/>
        <w:tblCellMar>
          <w:left w:w="0" w:type="dxa"/>
          <w:right w:w="0" w:type="dxa"/>
        </w:tblCellMar>
        <w:tblLook w:val="0600" w:firstRow="0" w:lastRow="0" w:firstColumn="0" w:lastColumn="0" w:noHBand="1" w:noVBand="1"/>
      </w:tblPr>
      <w:tblGrid>
        <w:gridCol w:w="2684"/>
        <w:gridCol w:w="2126"/>
        <w:gridCol w:w="1276"/>
        <w:gridCol w:w="1559"/>
        <w:gridCol w:w="2126"/>
      </w:tblGrid>
      <w:tr w:rsidR="00A758BB" w:rsidRPr="00F808AB" w14:paraId="49F19971" w14:textId="77777777" w:rsidTr="00A758BB">
        <w:trPr>
          <w:trHeight w:val="227"/>
        </w:trPr>
        <w:tc>
          <w:tcPr>
            <w:tcW w:w="2684" w:type="dxa"/>
            <w:tcBorders>
              <w:top w:val="single" w:sz="8" w:space="0" w:color="A3A3A3"/>
              <w:left w:val="single" w:sz="8" w:space="0" w:color="A3A3A3"/>
              <w:bottom w:val="single" w:sz="8" w:space="0" w:color="A3A3A3"/>
              <w:right w:val="single" w:sz="8" w:space="0" w:color="A3A3A3"/>
            </w:tcBorders>
            <w:shd w:val="clear" w:color="auto" w:fill="BFBFBF"/>
            <w:tcMar>
              <w:top w:w="52" w:type="dxa"/>
              <w:left w:w="52" w:type="dxa"/>
              <w:bottom w:w="52" w:type="dxa"/>
              <w:right w:w="52" w:type="dxa"/>
            </w:tcMar>
            <w:hideMark/>
          </w:tcPr>
          <w:p w14:paraId="69F0D2F7" w14:textId="77777777" w:rsidR="00A758BB" w:rsidRPr="00F808AB" w:rsidRDefault="00A758BB" w:rsidP="009E7087">
            <w:pPr>
              <w:spacing w:after="0"/>
              <w:textAlignment w:val="top"/>
              <w:rPr>
                <w:rFonts w:ascii="Arial" w:eastAsia="Times New Roman" w:hAnsi="Arial" w:cs="Arial"/>
                <w:sz w:val="36"/>
                <w:szCs w:val="36"/>
                <w:lang w:eastAsia="en-GB"/>
              </w:rPr>
            </w:pPr>
            <w:r w:rsidRPr="00F808AB">
              <w:rPr>
                <w:rFonts w:eastAsia="Times New Roman"/>
                <w:b/>
                <w:bCs/>
                <w:color w:val="000000"/>
                <w:kern w:val="24"/>
                <w:lang w:val="en-US" w:eastAsia="en-GB"/>
              </w:rPr>
              <w:t>tRFMO</w:t>
            </w:r>
          </w:p>
        </w:tc>
        <w:tc>
          <w:tcPr>
            <w:tcW w:w="2126" w:type="dxa"/>
            <w:tcBorders>
              <w:top w:val="single" w:sz="8" w:space="0" w:color="A3A3A3"/>
              <w:left w:val="single" w:sz="8" w:space="0" w:color="A3A3A3"/>
              <w:bottom w:val="single" w:sz="8" w:space="0" w:color="A3A3A3"/>
              <w:right w:val="single" w:sz="8" w:space="0" w:color="A3A3A3"/>
            </w:tcBorders>
            <w:shd w:val="clear" w:color="auto" w:fill="BFBFBF"/>
            <w:tcMar>
              <w:top w:w="52" w:type="dxa"/>
              <w:left w:w="52" w:type="dxa"/>
              <w:bottom w:w="52" w:type="dxa"/>
              <w:right w:w="52" w:type="dxa"/>
            </w:tcMar>
            <w:hideMark/>
          </w:tcPr>
          <w:p w14:paraId="56DA4624"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b/>
                <w:bCs/>
                <w:color w:val="000000"/>
                <w:kern w:val="24"/>
                <w:lang w:val="en-US" w:eastAsia="en-GB"/>
              </w:rPr>
              <w:t>IATTC</w:t>
            </w:r>
          </w:p>
        </w:tc>
        <w:tc>
          <w:tcPr>
            <w:tcW w:w="1276" w:type="dxa"/>
            <w:tcBorders>
              <w:top w:val="single" w:sz="8" w:space="0" w:color="A3A3A3"/>
              <w:left w:val="single" w:sz="8" w:space="0" w:color="A3A3A3"/>
              <w:bottom w:val="single" w:sz="8" w:space="0" w:color="A3A3A3"/>
              <w:right w:val="single" w:sz="8" w:space="0" w:color="A3A3A3"/>
            </w:tcBorders>
            <w:shd w:val="clear" w:color="auto" w:fill="BFBFBF"/>
            <w:tcMar>
              <w:top w:w="52" w:type="dxa"/>
              <w:left w:w="52" w:type="dxa"/>
              <w:bottom w:w="52" w:type="dxa"/>
              <w:right w:w="52" w:type="dxa"/>
            </w:tcMar>
            <w:hideMark/>
          </w:tcPr>
          <w:p w14:paraId="0EC1A8F3"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b/>
                <w:bCs/>
                <w:color w:val="000000"/>
                <w:kern w:val="24"/>
                <w:lang w:val="en-US" w:eastAsia="en-GB"/>
              </w:rPr>
              <w:t>ICCAT</w:t>
            </w:r>
          </w:p>
        </w:tc>
        <w:tc>
          <w:tcPr>
            <w:tcW w:w="1559" w:type="dxa"/>
            <w:tcBorders>
              <w:top w:val="single" w:sz="8" w:space="0" w:color="A3A3A3"/>
              <w:left w:val="single" w:sz="8" w:space="0" w:color="A3A3A3"/>
              <w:bottom w:val="single" w:sz="8" w:space="0" w:color="A3A3A3"/>
              <w:right w:val="single" w:sz="8" w:space="0" w:color="A3A3A3"/>
            </w:tcBorders>
            <w:shd w:val="clear" w:color="auto" w:fill="BFBFBF"/>
            <w:tcMar>
              <w:top w:w="52" w:type="dxa"/>
              <w:left w:w="52" w:type="dxa"/>
              <w:bottom w:w="52" w:type="dxa"/>
              <w:right w:w="52" w:type="dxa"/>
            </w:tcMar>
            <w:hideMark/>
          </w:tcPr>
          <w:p w14:paraId="367B2BE6"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b/>
                <w:bCs/>
                <w:color w:val="000000"/>
                <w:kern w:val="24"/>
                <w:lang w:val="en-US" w:eastAsia="en-GB"/>
              </w:rPr>
              <w:t>IOTC</w:t>
            </w:r>
          </w:p>
        </w:tc>
        <w:tc>
          <w:tcPr>
            <w:tcW w:w="2126" w:type="dxa"/>
            <w:tcBorders>
              <w:top w:val="single" w:sz="8" w:space="0" w:color="A3A3A3"/>
              <w:left w:val="single" w:sz="8" w:space="0" w:color="A3A3A3"/>
              <w:bottom w:val="single" w:sz="8" w:space="0" w:color="A3A3A3"/>
              <w:right w:val="single" w:sz="8" w:space="0" w:color="A3A3A3"/>
            </w:tcBorders>
            <w:shd w:val="clear" w:color="auto" w:fill="BFBFBF"/>
            <w:tcMar>
              <w:top w:w="52" w:type="dxa"/>
              <w:left w:w="52" w:type="dxa"/>
              <w:bottom w:w="52" w:type="dxa"/>
              <w:right w:w="52" w:type="dxa"/>
            </w:tcMar>
            <w:hideMark/>
          </w:tcPr>
          <w:p w14:paraId="2E4FE42F"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b/>
                <w:bCs/>
                <w:color w:val="000000"/>
                <w:kern w:val="24"/>
                <w:lang w:val="en-US" w:eastAsia="en-GB"/>
              </w:rPr>
              <w:t>WCPFC</w:t>
            </w:r>
          </w:p>
        </w:tc>
      </w:tr>
      <w:tr w:rsidR="00A758BB" w:rsidRPr="00F808AB" w14:paraId="6632F639" w14:textId="77777777" w:rsidTr="00A758BB">
        <w:trPr>
          <w:trHeight w:val="227"/>
        </w:trPr>
        <w:tc>
          <w:tcPr>
            <w:tcW w:w="2684"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549870FF" w14:textId="77777777" w:rsidR="00A758BB" w:rsidRPr="00A758BB" w:rsidRDefault="00A758BB" w:rsidP="00A758BB">
            <w:pPr>
              <w:spacing w:after="0"/>
              <w:jc w:val="left"/>
              <w:textAlignment w:val="top"/>
              <w:rPr>
                <w:rFonts w:ascii="Arial" w:eastAsia="Times New Roman" w:hAnsi="Arial" w:cs="Arial"/>
                <w:sz w:val="36"/>
                <w:szCs w:val="36"/>
                <w:lang w:val="en-GB" w:eastAsia="en-GB"/>
              </w:rPr>
            </w:pPr>
            <w:r w:rsidRPr="00F808AB">
              <w:rPr>
                <w:rFonts w:eastAsia="Times New Roman"/>
                <w:b/>
                <w:bCs/>
                <w:color w:val="000000"/>
                <w:kern w:val="24"/>
                <w:lang w:val="en-US" w:eastAsia="en-GB"/>
              </w:rPr>
              <w:t>TAC or catch limits for LL</w:t>
            </w:r>
          </w:p>
        </w:tc>
        <w:tc>
          <w:tcPr>
            <w:tcW w:w="212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7733C485"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000000"/>
                <w:kern w:val="24"/>
                <w:lang w:val="en-US" w:eastAsia="en-GB"/>
              </w:rPr>
              <w:t>BET</w:t>
            </w:r>
          </w:p>
        </w:tc>
        <w:tc>
          <w:tcPr>
            <w:tcW w:w="127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18071303"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000000"/>
                <w:kern w:val="24"/>
                <w:lang w:val="en-US" w:eastAsia="en-GB"/>
              </w:rPr>
              <w:t> </w:t>
            </w:r>
          </w:p>
        </w:tc>
        <w:tc>
          <w:tcPr>
            <w:tcW w:w="1559"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627114C2"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000000"/>
                <w:kern w:val="24"/>
                <w:lang w:val="en-US" w:eastAsia="en-GB"/>
              </w:rPr>
              <w:t> </w:t>
            </w:r>
          </w:p>
        </w:tc>
        <w:tc>
          <w:tcPr>
            <w:tcW w:w="212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273638EF"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000000"/>
                <w:kern w:val="24"/>
                <w:lang w:val="en-US" w:eastAsia="en-GB"/>
              </w:rPr>
              <w:t>BET</w:t>
            </w:r>
          </w:p>
        </w:tc>
      </w:tr>
      <w:tr w:rsidR="00A758BB" w:rsidRPr="00F808AB" w14:paraId="23D5D136" w14:textId="77777777" w:rsidTr="00A758BB">
        <w:trPr>
          <w:trHeight w:val="227"/>
        </w:trPr>
        <w:tc>
          <w:tcPr>
            <w:tcW w:w="2684"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4C1CDAE6" w14:textId="77777777" w:rsidR="00A758BB" w:rsidRPr="00A758BB" w:rsidRDefault="00A758BB" w:rsidP="00A758BB">
            <w:pPr>
              <w:spacing w:after="0"/>
              <w:jc w:val="left"/>
              <w:textAlignment w:val="top"/>
              <w:rPr>
                <w:rFonts w:ascii="Arial" w:eastAsia="Times New Roman" w:hAnsi="Arial" w:cs="Arial"/>
                <w:sz w:val="36"/>
                <w:szCs w:val="36"/>
                <w:lang w:val="en-GB" w:eastAsia="en-GB"/>
              </w:rPr>
            </w:pPr>
            <w:r w:rsidRPr="00F808AB">
              <w:rPr>
                <w:rFonts w:eastAsia="Times New Roman"/>
                <w:b/>
                <w:bCs/>
                <w:color w:val="000000"/>
                <w:kern w:val="24"/>
                <w:lang w:val="en-US" w:eastAsia="en-GB"/>
              </w:rPr>
              <w:t>TAC or catch limits all gears</w:t>
            </w:r>
          </w:p>
        </w:tc>
        <w:tc>
          <w:tcPr>
            <w:tcW w:w="212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0A067C81" w14:textId="77777777" w:rsidR="00A758BB" w:rsidRPr="00A758BB" w:rsidRDefault="00A758BB" w:rsidP="009E7087">
            <w:pPr>
              <w:spacing w:after="0"/>
              <w:jc w:val="center"/>
              <w:textAlignment w:val="top"/>
              <w:rPr>
                <w:rFonts w:ascii="Arial" w:eastAsia="Times New Roman" w:hAnsi="Arial" w:cs="Arial"/>
                <w:sz w:val="36"/>
                <w:szCs w:val="36"/>
                <w:lang w:val="en-GB" w:eastAsia="en-GB"/>
              </w:rPr>
            </w:pPr>
            <w:r w:rsidRPr="00F808AB">
              <w:rPr>
                <w:rFonts w:eastAsia="Times New Roman"/>
                <w:color w:val="000000"/>
                <w:kern w:val="24"/>
                <w:lang w:val="en-US" w:eastAsia="en-GB"/>
              </w:rPr>
              <w:t> </w:t>
            </w:r>
          </w:p>
        </w:tc>
        <w:tc>
          <w:tcPr>
            <w:tcW w:w="127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35E31743"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000000"/>
                <w:kern w:val="24"/>
                <w:lang w:val="en-US" w:eastAsia="en-GB"/>
              </w:rPr>
              <w:t>BET/YFT</w:t>
            </w:r>
          </w:p>
        </w:tc>
        <w:tc>
          <w:tcPr>
            <w:tcW w:w="1559"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64003A3B"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000000"/>
                <w:kern w:val="24"/>
                <w:lang w:val="en-US" w:eastAsia="en-GB"/>
              </w:rPr>
              <w:t>YFT/SKJ</w:t>
            </w:r>
          </w:p>
        </w:tc>
        <w:tc>
          <w:tcPr>
            <w:tcW w:w="212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77C6E1EA"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000000"/>
                <w:kern w:val="24"/>
                <w:lang w:val="en-US" w:eastAsia="en-GB"/>
              </w:rPr>
              <w:t> </w:t>
            </w:r>
          </w:p>
        </w:tc>
      </w:tr>
      <w:tr w:rsidR="00A758BB" w:rsidRPr="00F808AB" w14:paraId="7F38D57E" w14:textId="77777777" w:rsidTr="00A758BB">
        <w:trPr>
          <w:trHeight w:val="227"/>
        </w:trPr>
        <w:tc>
          <w:tcPr>
            <w:tcW w:w="2684"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5CC7BA31" w14:textId="77777777" w:rsidR="00A758BB" w:rsidRPr="00F808AB" w:rsidRDefault="00A758BB" w:rsidP="00A758BB">
            <w:pPr>
              <w:spacing w:after="0"/>
              <w:jc w:val="left"/>
              <w:textAlignment w:val="top"/>
              <w:rPr>
                <w:rFonts w:ascii="Arial" w:eastAsia="Times New Roman" w:hAnsi="Arial" w:cs="Arial"/>
                <w:sz w:val="36"/>
                <w:szCs w:val="36"/>
                <w:lang w:eastAsia="en-GB"/>
              </w:rPr>
            </w:pPr>
            <w:r w:rsidRPr="00F808AB">
              <w:rPr>
                <w:rFonts w:eastAsia="Times New Roman"/>
                <w:b/>
                <w:bCs/>
                <w:color w:val="000000"/>
                <w:kern w:val="24"/>
                <w:lang w:val="en-US" w:eastAsia="en-GB"/>
              </w:rPr>
              <w:t>Fleet capacity limits</w:t>
            </w:r>
          </w:p>
        </w:tc>
        <w:tc>
          <w:tcPr>
            <w:tcW w:w="212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753EBEC4"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000000"/>
                <w:kern w:val="24"/>
                <w:lang w:val="en-US" w:eastAsia="en-GB"/>
              </w:rPr>
              <w:t>X</w:t>
            </w:r>
          </w:p>
        </w:tc>
        <w:tc>
          <w:tcPr>
            <w:tcW w:w="127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032964A9" w14:textId="77777777" w:rsidR="00A758BB" w:rsidRPr="00F808AB" w:rsidRDefault="00A758BB" w:rsidP="009E7087">
            <w:pPr>
              <w:spacing w:after="0"/>
              <w:textAlignment w:val="top"/>
              <w:rPr>
                <w:rFonts w:ascii="Arial" w:eastAsia="Times New Roman" w:hAnsi="Arial" w:cs="Arial"/>
                <w:sz w:val="36"/>
                <w:szCs w:val="36"/>
                <w:lang w:eastAsia="en-GB"/>
              </w:rPr>
            </w:pPr>
            <w:r w:rsidRPr="00F808AB">
              <w:rPr>
                <w:rFonts w:eastAsia="Times New Roman"/>
                <w:color w:val="000000"/>
                <w:kern w:val="24"/>
                <w:lang w:val="es-ES" w:eastAsia="en-GB"/>
              </w:rPr>
              <w:t> </w:t>
            </w:r>
          </w:p>
        </w:tc>
        <w:tc>
          <w:tcPr>
            <w:tcW w:w="1559"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660759D2" w14:textId="77777777" w:rsidR="00A758BB" w:rsidRPr="00F808AB" w:rsidRDefault="00A758BB" w:rsidP="009E7087">
            <w:pPr>
              <w:spacing w:after="0"/>
              <w:textAlignment w:val="top"/>
              <w:rPr>
                <w:rFonts w:ascii="Arial" w:eastAsia="Times New Roman" w:hAnsi="Arial" w:cs="Arial"/>
                <w:sz w:val="36"/>
                <w:szCs w:val="36"/>
                <w:lang w:eastAsia="en-GB"/>
              </w:rPr>
            </w:pPr>
            <w:r w:rsidRPr="00F808AB">
              <w:rPr>
                <w:rFonts w:eastAsia="Times New Roman"/>
                <w:color w:val="000000"/>
                <w:kern w:val="24"/>
                <w:lang w:val="es-ES" w:eastAsia="en-GB"/>
              </w:rPr>
              <w:t> </w:t>
            </w:r>
          </w:p>
        </w:tc>
        <w:tc>
          <w:tcPr>
            <w:tcW w:w="212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430DB07F"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000000"/>
                <w:kern w:val="24"/>
                <w:lang w:val="en-US" w:eastAsia="en-GB"/>
              </w:rPr>
              <w:t>X</w:t>
            </w:r>
          </w:p>
        </w:tc>
      </w:tr>
      <w:tr w:rsidR="00A758BB" w:rsidRPr="00F808AB" w14:paraId="314CC84A" w14:textId="77777777" w:rsidTr="00A758BB">
        <w:trPr>
          <w:trHeight w:val="227"/>
        </w:trPr>
        <w:tc>
          <w:tcPr>
            <w:tcW w:w="2684"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42634F6A" w14:textId="77777777" w:rsidR="00A758BB" w:rsidRPr="00F808AB" w:rsidRDefault="00A758BB" w:rsidP="00A758BB">
            <w:pPr>
              <w:spacing w:after="0"/>
              <w:jc w:val="left"/>
              <w:textAlignment w:val="top"/>
              <w:rPr>
                <w:rFonts w:ascii="Arial" w:eastAsia="Times New Roman" w:hAnsi="Arial" w:cs="Arial"/>
                <w:sz w:val="36"/>
                <w:szCs w:val="36"/>
                <w:lang w:eastAsia="en-GB"/>
              </w:rPr>
            </w:pPr>
            <w:r w:rsidRPr="00F808AB">
              <w:rPr>
                <w:rFonts w:eastAsia="Times New Roman"/>
                <w:b/>
                <w:bCs/>
                <w:color w:val="000000"/>
                <w:kern w:val="24"/>
                <w:lang w:val="en-US" w:eastAsia="en-GB"/>
              </w:rPr>
              <w:t>Limit supply vessels</w:t>
            </w:r>
          </w:p>
        </w:tc>
        <w:tc>
          <w:tcPr>
            <w:tcW w:w="212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76EA6D19"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000000"/>
                <w:kern w:val="24"/>
                <w:lang w:val="en-US" w:eastAsia="en-GB"/>
              </w:rPr>
              <w:t>X (prohibited)</w:t>
            </w:r>
          </w:p>
        </w:tc>
        <w:tc>
          <w:tcPr>
            <w:tcW w:w="127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1A683EE3"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FA0000"/>
                <w:kern w:val="24"/>
                <w:lang w:val="en-US" w:eastAsia="en-GB"/>
              </w:rPr>
              <w:t> </w:t>
            </w:r>
          </w:p>
        </w:tc>
        <w:tc>
          <w:tcPr>
            <w:tcW w:w="1559"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2C414609"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000000"/>
                <w:kern w:val="24"/>
                <w:lang w:val="en-US" w:eastAsia="en-GB"/>
              </w:rPr>
              <w:t>X</w:t>
            </w:r>
          </w:p>
        </w:tc>
        <w:tc>
          <w:tcPr>
            <w:tcW w:w="212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5F288A41" w14:textId="77777777" w:rsidR="00A758BB" w:rsidRPr="00F808AB" w:rsidRDefault="00A758BB" w:rsidP="009E7087">
            <w:pPr>
              <w:spacing w:after="0"/>
              <w:textAlignment w:val="top"/>
              <w:rPr>
                <w:rFonts w:ascii="Arial" w:eastAsia="Times New Roman" w:hAnsi="Arial" w:cs="Arial"/>
                <w:sz w:val="36"/>
                <w:szCs w:val="36"/>
                <w:lang w:eastAsia="en-GB"/>
              </w:rPr>
            </w:pPr>
            <w:r w:rsidRPr="00F808AB">
              <w:rPr>
                <w:rFonts w:eastAsia="Times New Roman"/>
                <w:color w:val="000000"/>
                <w:kern w:val="24"/>
                <w:lang w:val="es-ES" w:eastAsia="en-GB"/>
              </w:rPr>
              <w:t> </w:t>
            </w:r>
          </w:p>
        </w:tc>
      </w:tr>
      <w:tr w:rsidR="00A758BB" w:rsidRPr="00F808AB" w14:paraId="4E500328" w14:textId="77777777" w:rsidTr="00A758BB">
        <w:trPr>
          <w:trHeight w:val="227"/>
        </w:trPr>
        <w:tc>
          <w:tcPr>
            <w:tcW w:w="2684"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69AC8F34" w14:textId="77777777" w:rsidR="00A758BB" w:rsidRPr="00F808AB" w:rsidRDefault="00A758BB" w:rsidP="00A758BB">
            <w:pPr>
              <w:spacing w:after="0"/>
              <w:jc w:val="left"/>
              <w:textAlignment w:val="top"/>
              <w:rPr>
                <w:rFonts w:ascii="Arial" w:eastAsia="Times New Roman" w:hAnsi="Arial" w:cs="Arial"/>
                <w:sz w:val="36"/>
                <w:szCs w:val="36"/>
                <w:lang w:eastAsia="en-GB"/>
              </w:rPr>
            </w:pPr>
            <w:r w:rsidRPr="00F808AB">
              <w:rPr>
                <w:rFonts w:eastAsia="Times New Roman"/>
                <w:b/>
                <w:bCs/>
                <w:color w:val="000000"/>
                <w:kern w:val="24"/>
                <w:lang w:val="en-US" w:eastAsia="en-GB"/>
              </w:rPr>
              <w:t>PS effort control</w:t>
            </w:r>
          </w:p>
        </w:tc>
        <w:tc>
          <w:tcPr>
            <w:tcW w:w="212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1BFEB34E"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000000"/>
                <w:kern w:val="24"/>
                <w:lang w:val="en-US" w:eastAsia="en-GB"/>
              </w:rPr>
              <w:t>X (72d)</w:t>
            </w:r>
          </w:p>
        </w:tc>
        <w:tc>
          <w:tcPr>
            <w:tcW w:w="127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15318304" w14:textId="77777777" w:rsidR="00A758BB" w:rsidRPr="00F808AB" w:rsidRDefault="00A758BB" w:rsidP="009E7087">
            <w:pPr>
              <w:spacing w:after="0"/>
              <w:textAlignment w:val="top"/>
              <w:rPr>
                <w:rFonts w:ascii="Arial" w:eastAsia="Times New Roman" w:hAnsi="Arial" w:cs="Arial"/>
                <w:sz w:val="36"/>
                <w:szCs w:val="36"/>
                <w:lang w:eastAsia="en-GB"/>
              </w:rPr>
            </w:pPr>
            <w:r w:rsidRPr="00F808AB">
              <w:rPr>
                <w:rFonts w:eastAsia="Times New Roman"/>
                <w:color w:val="000000"/>
                <w:kern w:val="24"/>
                <w:lang w:val="es-ES" w:eastAsia="en-GB"/>
              </w:rPr>
              <w:t> </w:t>
            </w:r>
          </w:p>
        </w:tc>
        <w:tc>
          <w:tcPr>
            <w:tcW w:w="1559"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277BF577" w14:textId="77777777" w:rsidR="00A758BB" w:rsidRPr="00F808AB" w:rsidRDefault="00A758BB" w:rsidP="009E7087">
            <w:pPr>
              <w:spacing w:after="0"/>
              <w:textAlignment w:val="top"/>
              <w:rPr>
                <w:rFonts w:ascii="Arial" w:eastAsia="Times New Roman" w:hAnsi="Arial" w:cs="Arial"/>
                <w:sz w:val="36"/>
                <w:szCs w:val="36"/>
                <w:lang w:eastAsia="en-GB"/>
              </w:rPr>
            </w:pPr>
            <w:r w:rsidRPr="00F808AB">
              <w:rPr>
                <w:rFonts w:eastAsia="Times New Roman"/>
                <w:color w:val="000000"/>
                <w:kern w:val="24"/>
                <w:lang w:val="es-ES" w:eastAsia="en-GB"/>
              </w:rPr>
              <w:t> </w:t>
            </w:r>
          </w:p>
        </w:tc>
        <w:tc>
          <w:tcPr>
            <w:tcW w:w="212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598494DF"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000000"/>
                <w:kern w:val="24"/>
                <w:lang w:val="es-ES" w:eastAsia="en-GB"/>
              </w:rPr>
              <w:t>X (vessel days-sets)</w:t>
            </w:r>
          </w:p>
        </w:tc>
      </w:tr>
      <w:tr w:rsidR="00A758BB" w:rsidRPr="00F808AB" w14:paraId="233A4A00" w14:textId="77777777" w:rsidTr="00A758BB">
        <w:trPr>
          <w:trHeight w:val="227"/>
        </w:trPr>
        <w:tc>
          <w:tcPr>
            <w:tcW w:w="2684"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6E95EEB2" w14:textId="77777777" w:rsidR="00A758BB" w:rsidRPr="00F808AB" w:rsidRDefault="00A758BB" w:rsidP="00A758BB">
            <w:pPr>
              <w:spacing w:after="0"/>
              <w:jc w:val="left"/>
              <w:textAlignment w:val="top"/>
              <w:rPr>
                <w:rFonts w:ascii="Arial" w:eastAsia="Times New Roman" w:hAnsi="Arial" w:cs="Arial"/>
                <w:sz w:val="36"/>
                <w:szCs w:val="36"/>
                <w:lang w:eastAsia="en-GB"/>
              </w:rPr>
            </w:pPr>
            <w:r w:rsidRPr="00F808AB">
              <w:rPr>
                <w:rFonts w:eastAsia="Times New Roman"/>
                <w:b/>
                <w:bCs/>
                <w:color w:val="000000"/>
                <w:kern w:val="24"/>
                <w:lang w:val="en-US" w:eastAsia="en-GB"/>
              </w:rPr>
              <w:t>PS Time-area closure</w:t>
            </w:r>
          </w:p>
        </w:tc>
        <w:tc>
          <w:tcPr>
            <w:tcW w:w="212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08F3025A"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000000"/>
                <w:kern w:val="24"/>
                <w:lang w:val="en-US" w:eastAsia="en-GB"/>
              </w:rPr>
              <w:t>X (1m)</w:t>
            </w:r>
          </w:p>
        </w:tc>
        <w:tc>
          <w:tcPr>
            <w:tcW w:w="127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6DADE885" w14:textId="77777777" w:rsidR="00A758BB" w:rsidRPr="00F808AB" w:rsidRDefault="00A758BB" w:rsidP="009E7087">
            <w:pPr>
              <w:spacing w:after="0"/>
              <w:textAlignment w:val="top"/>
              <w:rPr>
                <w:rFonts w:ascii="Arial" w:eastAsia="Times New Roman" w:hAnsi="Arial" w:cs="Arial"/>
                <w:sz w:val="36"/>
                <w:szCs w:val="36"/>
                <w:lang w:eastAsia="en-GB"/>
              </w:rPr>
            </w:pPr>
            <w:r w:rsidRPr="00F808AB">
              <w:rPr>
                <w:rFonts w:eastAsia="Times New Roman"/>
                <w:color w:val="000000"/>
                <w:kern w:val="24"/>
                <w:lang w:val="es-ES" w:eastAsia="en-GB"/>
              </w:rPr>
              <w:t> </w:t>
            </w:r>
          </w:p>
        </w:tc>
        <w:tc>
          <w:tcPr>
            <w:tcW w:w="1559"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43BE2E80" w14:textId="77777777" w:rsidR="00A758BB" w:rsidRPr="00F808AB" w:rsidRDefault="00A758BB" w:rsidP="009E7087">
            <w:pPr>
              <w:spacing w:after="0"/>
              <w:textAlignment w:val="top"/>
              <w:rPr>
                <w:rFonts w:ascii="Arial" w:eastAsia="Times New Roman" w:hAnsi="Arial" w:cs="Arial"/>
                <w:sz w:val="36"/>
                <w:szCs w:val="36"/>
                <w:lang w:eastAsia="en-GB"/>
              </w:rPr>
            </w:pPr>
            <w:r w:rsidRPr="00F808AB">
              <w:rPr>
                <w:rFonts w:eastAsia="Times New Roman"/>
                <w:color w:val="000000"/>
                <w:kern w:val="24"/>
                <w:lang w:val="es-ES" w:eastAsia="en-GB"/>
              </w:rPr>
              <w:t> </w:t>
            </w:r>
          </w:p>
        </w:tc>
        <w:tc>
          <w:tcPr>
            <w:tcW w:w="212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720ACBD3" w14:textId="77777777" w:rsidR="00A758BB" w:rsidRPr="00F808AB" w:rsidRDefault="00A758BB" w:rsidP="009E7087">
            <w:pPr>
              <w:spacing w:after="0"/>
              <w:textAlignment w:val="top"/>
              <w:rPr>
                <w:rFonts w:ascii="Arial" w:eastAsia="Times New Roman" w:hAnsi="Arial" w:cs="Arial"/>
                <w:sz w:val="36"/>
                <w:szCs w:val="36"/>
                <w:lang w:eastAsia="en-GB"/>
              </w:rPr>
            </w:pPr>
            <w:r w:rsidRPr="00F808AB">
              <w:rPr>
                <w:rFonts w:eastAsia="Times New Roman"/>
                <w:color w:val="000000"/>
                <w:kern w:val="24"/>
                <w:lang w:val="es-ES" w:eastAsia="en-GB"/>
              </w:rPr>
              <w:t> </w:t>
            </w:r>
          </w:p>
        </w:tc>
      </w:tr>
      <w:tr w:rsidR="00A758BB" w:rsidRPr="00F808AB" w14:paraId="77E0BF83" w14:textId="77777777" w:rsidTr="00A758BB">
        <w:trPr>
          <w:trHeight w:val="227"/>
        </w:trPr>
        <w:tc>
          <w:tcPr>
            <w:tcW w:w="2684" w:type="dxa"/>
            <w:tcBorders>
              <w:top w:val="single" w:sz="8" w:space="0" w:color="A3A3A3"/>
              <w:left w:val="single" w:sz="8" w:space="0" w:color="A3A3A3"/>
              <w:bottom w:val="single" w:sz="8" w:space="0" w:color="A3A3A3"/>
              <w:right w:val="single" w:sz="8" w:space="0" w:color="A3A3A3"/>
            </w:tcBorders>
            <w:shd w:val="clear" w:color="auto" w:fill="BFBFBF"/>
            <w:tcMar>
              <w:top w:w="52" w:type="dxa"/>
              <w:left w:w="52" w:type="dxa"/>
              <w:bottom w:w="52" w:type="dxa"/>
              <w:right w:w="52" w:type="dxa"/>
            </w:tcMar>
            <w:hideMark/>
          </w:tcPr>
          <w:p w14:paraId="0E35AEA8" w14:textId="77777777" w:rsidR="00A758BB" w:rsidRPr="00F808AB" w:rsidRDefault="00A758BB" w:rsidP="00A758BB">
            <w:pPr>
              <w:spacing w:after="0"/>
              <w:jc w:val="left"/>
              <w:textAlignment w:val="top"/>
              <w:rPr>
                <w:rFonts w:ascii="Arial" w:eastAsia="Times New Roman" w:hAnsi="Arial" w:cs="Arial"/>
                <w:sz w:val="36"/>
                <w:szCs w:val="36"/>
                <w:lang w:eastAsia="en-GB"/>
              </w:rPr>
            </w:pPr>
            <w:r w:rsidRPr="00F808AB">
              <w:rPr>
                <w:rFonts w:eastAsia="Times New Roman"/>
                <w:b/>
                <w:bCs/>
                <w:color w:val="000000"/>
                <w:kern w:val="24"/>
                <w:lang w:val="en-US" w:eastAsia="en-GB"/>
              </w:rPr>
              <w:t>FAD specific measures</w:t>
            </w:r>
          </w:p>
        </w:tc>
        <w:tc>
          <w:tcPr>
            <w:tcW w:w="2126" w:type="dxa"/>
            <w:tcBorders>
              <w:top w:val="single" w:sz="8" w:space="0" w:color="A3A3A3"/>
              <w:left w:val="single" w:sz="8" w:space="0" w:color="A3A3A3"/>
              <w:bottom w:val="single" w:sz="8" w:space="0" w:color="A3A3A3"/>
              <w:right w:val="single" w:sz="8" w:space="0" w:color="A3A3A3"/>
            </w:tcBorders>
            <w:shd w:val="clear" w:color="auto" w:fill="BFBFBF"/>
            <w:tcMar>
              <w:top w:w="52" w:type="dxa"/>
              <w:left w:w="52" w:type="dxa"/>
              <w:bottom w:w="52" w:type="dxa"/>
              <w:right w:w="52" w:type="dxa"/>
            </w:tcMar>
            <w:hideMark/>
          </w:tcPr>
          <w:p w14:paraId="3C7A0F8A" w14:textId="77777777" w:rsidR="00A758BB" w:rsidRPr="00F808AB" w:rsidRDefault="009F4E34" w:rsidP="009E7087">
            <w:pPr>
              <w:spacing w:after="0"/>
              <w:jc w:val="center"/>
              <w:textAlignment w:val="top"/>
              <w:rPr>
                <w:rFonts w:ascii="Arial" w:eastAsia="Times New Roman" w:hAnsi="Arial" w:cs="Arial"/>
                <w:sz w:val="36"/>
                <w:szCs w:val="36"/>
                <w:lang w:eastAsia="en-GB"/>
              </w:rPr>
            </w:pPr>
            <w:hyperlink r:id="rId8" w:history="1">
              <w:r w:rsidR="00A758BB" w:rsidRPr="00F808AB">
                <w:rPr>
                  <w:rFonts w:eastAsia="Times New Roman"/>
                  <w:b/>
                  <w:bCs/>
                  <w:color w:val="000000"/>
                  <w:kern w:val="24"/>
                  <w:u w:val="single"/>
                  <w:lang w:val="es-ES" w:eastAsia="en-GB"/>
                </w:rPr>
                <w:t>C-20-06</w:t>
              </w:r>
            </w:hyperlink>
          </w:p>
        </w:tc>
        <w:tc>
          <w:tcPr>
            <w:tcW w:w="1276" w:type="dxa"/>
            <w:tcBorders>
              <w:top w:val="single" w:sz="8" w:space="0" w:color="A3A3A3"/>
              <w:left w:val="single" w:sz="8" w:space="0" w:color="A3A3A3"/>
              <w:bottom w:val="single" w:sz="8" w:space="0" w:color="A3A3A3"/>
              <w:right w:val="single" w:sz="8" w:space="0" w:color="A3A3A3"/>
            </w:tcBorders>
            <w:shd w:val="clear" w:color="auto" w:fill="BFBFBF"/>
            <w:tcMar>
              <w:top w:w="52" w:type="dxa"/>
              <w:left w:w="52" w:type="dxa"/>
              <w:bottom w:w="52" w:type="dxa"/>
              <w:right w:w="52" w:type="dxa"/>
            </w:tcMar>
            <w:hideMark/>
          </w:tcPr>
          <w:p w14:paraId="31B2F6ED" w14:textId="77777777" w:rsidR="00A758BB" w:rsidRPr="00F808AB" w:rsidRDefault="009F4E34" w:rsidP="009E7087">
            <w:pPr>
              <w:spacing w:after="0"/>
              <w:jc w:val="center"/>
              <w:textAlignment w:val="top"/>
              <w:rPr>
                <w:rFonts w:ascii="Arial" w:eastAsia="Times New Roman" w:hAnsi="Arial" w:cs="Arial"/>
                <w:sz w:val="36"/>
                <w:szCs w:val="36"/>
                <w:lang w:eastAsia="en-GB"/>
              </w:rPr>
            </w:pPr>
            <w:hyperlink r:id="rId9" w:history="1">
              <w:r w:rsidR="00A758BB" w:rsidRPr="00F808AB">
                <w:rPr>
                  <w:rFonts w:eastAsia="Times New Roman"/>
                  <w:b/>
                  <w:bCs/>
                  <w:color w:val="000000"/>
                  <w:kern w:val="24"/>
                  <w:u w:val="single"/>
                  <w:lang w:val="es-ES" w:eastAsia="en-GB"/>
                </w:rPr>
                <w:t>Rec 19-02</w:t>
              </w:r>
            </w:hyperlink>
          </w:p>
        </w:tc>
        <w:tc>
          <w:tcPr>
            <w:tcW w:w="1559" w:type="dxa"/>
            <w:tcBorders>
              <w:top w:val="single" w:sz="8" w:space="0" w:color="A3A3A3"/>
              <w:left w:val="single" w:sz="8" w:space="0" w:color="A3A3A3"/>
              <w:bottom w:val="single" w:sz="8" w:space="0" w:color="A3A3A3"/>
              <w:right w:val="single" w:sz="8" w:space="0" w:color="A3A3A3"/>
            </w:tcBorders>
            <w:shd w:val="clear" w:color="auto" w:fill="BFBFBF"/>
            <w:tcMar>
              <w:top w:w="52" w:type="dxa"/>
              <w:left w:w="52" w:type="dxa"/>
              <w:bottom w:w="52" w:type="dxa"/>
              <w:right w:w="52" w:type="dxa"/>
            </w:tcMar>
            <w:hideMark/>
          </w:tcPr>
          <w:p w14:paraId="39B7BB1D" w14:textId="77777777" w:rsidR="00A758BB" w:rsidRPr="00F808AB" w:rsidRDefault="009F4E34" w:rsidP="009E7087">
            <w:pPr>
              <w:spacing w:after="0"/>
              <w:jc w:val="center"/>
              <w:textAlignment w:val="top"/>
              <w:rPr>
                <w:rFonts w:ascii="Arial" w:eastAsia="Times New Roman" w:hAnsi="Arial" w:cs="Arial"/>
                <w:sz w:val="36"/>
                <w:szCs w:val="36"/>
                <w:lang w:eastAsia="en-GB"/>
              </w:rPr>
            </w:pPr>
            <w:hyperlink r:id="rId10" w:history="1">
              <w:r w:rsidR="00A758BB" w:rsidRPr="00F808AB">
                <w:rPr>
                  <w:rFonts w:eastAsia="Times New Roman"/>
                  <w:b/>
                  <w:bCs/>
                  <w:color w:val="000000"/>
                  <w:kern w:val="24"/>
                  <w:u w:val="single"/>
                  <w:lang w:val="es-ES" w:eastAsia="en-GB"/>
                </w:rPr>
                <w:t>Res 19-02</w:t>
              </w:r>
            </w:hyperlink>
          </w:p>
        </w:tc>
        <w:tc>
          <w:tcPr>
            <w:tcW w:w="2126" w:type="dxa"/>
            <w:tcBorders>
              <w:top w:val="single" w:sz="8" w:space="0" w:color="A3A3A3"/>
              <w:left w:val="single" w:sz="8" w:space="0" w:color="A3A3A3"/>
              <w:bottom w:val="single" w:sz="8" w:space="0" w:color="A3A3A3"/>
              <w:right w:val="single" w:sz="8" w:space="0" w:color="A3A3A3"/>
            </w:tcBorders>
            <w:shd w:val="clear" w:color="auto" w:fill="BFBFBF"/>
            <w:tcMar>
              <w:top w:w="52" w:type="dxa"/>
              <w:left w:w="52" w:type="dxa"/>
              <w:bottom w:w="52" w:type="dxa"/>
              <w:right w:w="52" w:type="dxa"/>
            </w:tcMar>
            <w:hideMark/>
          </w:tcPr>
          <w:p w14:paraId="58921948" w14:textId="77777777" w:rsidR="00A758BB" w:rsidRPr="00F808AB" w:rsidRDefault="009F4E34" w:rsidP="009E7087">
            <w:pPr>
              <w:spacing w:after="0"/>
              <w:jc w:val="center"/>
              <w:textAlignment w:val="top"/>
              <w:rPr>
                <w:rFonts w:ascii="Arial" w:eastAsia="Times New Roman" w:hAnsi="Arial" w:cs="Arial"/>
                <w:sz w:val="36"/>
                <w:szCs w:val="36"/>
                <w:lang w:eastAsia="en-GB"/>
              </w:rPr>
            </w:pPr>
            <w:hyperlink r:id="rId11" w:history="1">
              <w:r w:rsidR="00A758BB" w:rsidRPr="00F808AB">
                <w:rPr>
                  <w:rFonts w:eastAsia="Times New Roman"/>
                  <w:b/>
                  <w:bCs/>
                  <w:color w:val="000000"/>
                  <w:kern w:val="24"/>
                  <w:u w:val="single"/>
                  <w:lang w:val="es-ES" w:eastAsia="en-GB"/>
                </w:rPr>
                <w:t>CMM-18-01</w:t>
              </w:r>
            </w:hyperlink>
          </w:p>
        </w:tc>
      </w:tr>
      <w:tr w:rsidR="00A758BB" w:rsidRPr="00F808AB" w14:paraId="223D6DF5" w14:textId="77777777" w:rsidTr="00A758BB">
        <w:trPr>
          <w:trHeight w:val="227"/>
        </w:trPr>
        <w:tc>
          <w:tcPr>
            <w:tcW w:w="2684"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041FF510" w14:textId="77777777" w:rsidR="00A758BB" w:rsidRPr="00F808AB" w:rsidRDefault="00A758BB" w:rsidP="00A758BB">
            <w:pPr>
              <w:spacing w:after="0"/>
              <w:jc w:val="left"/>
              <w:textAlignment w:val="top"/>
              <w:rPr>
                <w:rFonts w:ascii="Arial" w:eastAsia="Times New Roman" w:hAnsi="Arial" w:cs="Arial"/>
                <w:sz w:val="36"/>
                <w:szCs w:val="36"/>
                <w:lang w:eastAsia="en-GB"/>
              </w:rPr>
            </w:pPr>
            <w:r w:rsidRPr="00F808AB">
              <w:rPr>
                <w:rFonts w:eastAsia="Times New Roman"/>
                <w:b/>
                <w:bCs/>
                <w:color w:val="000000"/>
                <w:kern w:val="24"/>
                <w:lang w:val="en-US" w:eastAsia="en-GB"/>
              </w:rPr>
              <w:t>Marking of FADs</w:t>
            </w:r>
          </w:p>
        </w:tc>
        <w:tc>
          <w:tcPr>
            <w:tcW w:w="212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59090CA6"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000000"/>
                <w:kern w:val="24"/>
                <w:lang w:val="en-US" w:eastAsia="en-GB"/>
              </w:rPr>
              <w:t>X</w:t>
            </w:r>
          </w:p>
        </w:tc>
        <w:tc>
          <w:tcPr>
            <w:tcW w:w="127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4B373217" w14:textId="77777777" w:rsidR="00A758BB" w:rsidRPr="00F808AB" w:rsidRDefault="00A758BB" w:rsidP="009E7087">
            <w:pPr>
              <w:spacing w:after="0"/>
              <w:textAlignment w:val="top"/>
              <w:rPr>
                <w:rFonts w:ascii="Arial" w:eastAsia="Times New Roman" w:hAnsi="Arial" w:cs="Arial"/>
                <w:sz w:val="36"/>
                <w:szCs w:val="36"/>
                <w:lang w:eastAsia="en-GB"/>
              </w:rPr>
            </w:pPr>
            <w:r w:rsidRPr="00F808AB">
              <w:rPr>
                <w:rFonts w:eastAsia="Times New Roman"/>
                <w:color w:val="000000"/>
                <w:kern w:val="24"/>
                <w:lang w:val="es-ES" w:eastAsia="en-GB"/>
              </w:rPr>
              <w:t> </w:t>
            </w:r>
          </w:p>
        </w:tc>
        <w:tc>
          <w:tcPr>
            <w:tcW w:w="1559"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1F898AE1"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000000"/>
                <w:kern w:val="24"/>
                <w:lang w:val="en-US" w:eastAsia="en-GB"/>
              </w:rPr>
              <w:t>X</w:t>
            </w:r>
          </w:p>
        </w:tc>
        <w:tc>
          <w:tcPr>
            <w:tcW w:w="212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7AA18A24"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000000"/>
                <w:kern w:val="24"/>
                <w:lang w:val="en-US" w:eastAsia="en-GB"/>
              </w:rPr>
              <w:t>X</w:t>
            </w:r>
          </w:p>
        </w:tc>
      </w:tr>
      <w:tr w:rsidR="00A758BB" w:rsidRPr="00F808AB" w14:paraId="71284CF9" w14:textId="77777777" w:rsidTr="00A758BB">
        <w:trPr>
          <w:trHeight w:val="227"/>
        </w:trPr>
        <w:tc>
          <w:tcPr>
            <w:tcW w:w="2684"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29B0129E" w14:textId="77777777" w:rsidR="00A758BB" w:rsidRPr="00F808AB" w:rsidRDefault="00A758BB" w:rsidP="00A758BB">
            <w:pPr>
              <w:spacing w:after="0"/>
              <w:jc w:val="left"/>
              <w:textAlignment w:val="top"/>
              <w:rPr>
                <w:rFonts w:ascii="Arial" w:eastAsia="Times New Roman" w:hAnsi="Arial" w:cs="Arial"/>
                <w:sz w:val="36"/>
                <w:szCs w:val="36"/>
                <w:lang w:eastAsia="en-GB"/>
              </w:rPr>
            </w:pPr>
            <w:r w:rsidRPr="00F808AB">
              <w:rPr>
                <w:rFonts w:eastAsia="Times New Roman"/>
                <w:b/>
                <w:bCs/>
                <w:color w:val="000000"/>
                <w:kern w:val="24"/>
                <w:lang w:val="en-US" w:eastAsia="en-GB"/>
              </w:rPr>
              <w:t>FAD Time closure</w:t>
            </w:r>
          </w:p>
        </w:tc>
        <w:tc>
          <w:tcPr>
            <w:tcW w:w="212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62C6FD3B" w14:textId="77777777" w:rsidR="00A758BB" w:rsidRPr="00F808AB" w:rsidRDefault="00A758BB" w:rsidP="009E7087">
            <w:pPr>
              <w:spacing w:after="0"/>
              <w:textAlignment w:val="top"/>
              <w:rPr>
                <w:rFonts w:ascii="Arial" w:eastAsia="Times New Roman" w:hAnsi="Arial" w:cs="Arial"/>
                <w:sz w:val="36"/>
                <w:szCs w:val="36"/>
                <w:lang w:eastAsia="en-GB"/>
              </w:rPr>
            </w:pPr>
            <w:r w:rsidRPr="00F808AB">
              <w:rPr>
                <w:rFonts w:eastAsia="Times New Roman"/>
                <w:color w:val="000000"/>
                <w:kern w:val="24"/>
                <w:lang w:val="es-ES" w:eastAsia="en-GB"/>
              </w:rPr>
              <w:t> </w:t>
            </w:r>
          </w:p>
        </w:tc>
        <w:tc>
          <w:tcPr>
            <w:tcW w:w="127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06EDA55E"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000000"/>
                <w:kern w:val="24"/>
                <w:lang w:val="en-US" w:eastAsia="en-GB"/>
              </w:rPr>
              <w:t>X (3 m)</w:t>
            </w:r>
          </w:p>
        </w:tc>
        <w:tc>
          <w:tcPr>
            <w:tcW w:w="1559"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65EDADF6" w14:textId="77777777" w:rsidR="00A758BB" w:rsidRPr="00F808AB" w:rsidRDefault="00A758BB" w:rsidP="009E7087">
            <w:pPr>
              <w:spacing w:after="0"/>
              <w:textAlignment w:val="top"/>
              <w:rPr>
                <w:rFonts w:ascii="Arial" w:eastAsia="Times New Roman" w:hAnsi="Arial" w:cs="Arial"/>
                <w:sz w:val="36"/>
                <w:szCs w:val="36"/>
                <w:lang w:eastAsia="en-GB"/>
              </w:rPr>
            </w:pPr>
            <w:r w:rsidRPr="00F808AB">
              <w:rPr>
                <w:rFonts w:eastAsia="Times New Roman"/>
                <w:color w:val="000000"/>
                <w:kern w:val="24"/>
                <w:lang w:val="es-ES" w:eastAsia="en-GB"/>
              </w:rPr>
              <w:t> </w:t>
            </w:r>
          </w:p>
        </w:tc>
        <w:tc>
          <w:tcPr>
            <w:tcW w:w="212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6A3793A7"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000000"/>
                <w:kern w:val="24"/>
                <w:lang w:val="en-US" w:eastAsia="en-GB"/>
              </w:rPr>
              <w:t>X (3 m)</w:t>
            </w:r>
          </w:p>
        </w:tc>
      </w:tr>
      <w:tr w:rsidR="00A758BB" w:rsidRPr="00F808AB" w14:paraId="50F42675" w14:textId="77777777" w:rsidTr="00A758BB">
        <w:trPr>
          <w:trHeight w:val="227"/>
        </w:trPr>
        <w:tc>
          <w:tcPr>
            <w:tcW w:w="2684"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321DEE75" w14:textId="77777777" w:rsidR="00A758BB" w:rsidRPr="00F808AB" w:rsidRDefault="00A758BB" w:rsidP="00A758BB">
            <w:pPr>
              <w:spacing w:after="0"/>
              <w:jc w:val="left"/>
              <w:textAlignment w:val="top"/>
              <w:rPr>
                <w:rFonts w:ascii="Arial" w:eastAsia="Times New Roman" w:hAnsi="Arial" w:cs="Arial"/>
                <w:sz w:val="36"/>
                <w:szCs w:val="36"/>
                <w:lang w:eastAsia="en-GB"/>
              </w:rPr>
            </w:pPr>
            <w:r w:rsidRPr="00F808AB">
              <w:rPr>
                <w:rFonts w:eastAsia="Times New Roman"/>
                <w:b/>
                <w:bCs/>
                <w:color w:val="000000"/>
                <w:kern w:val="24"/>
                <w:lang w:val="en-US" w:eastAsia="en-GB"/>
              </w:rPr>
              <w:t>FAD Time-area closure</w:t>
            </w:r>
          </w:p>
        </w:tc>
        <w:tc>
          <w:tcPr>
            <w:tcW w:w="212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4151DE0A" w14:textId="77777777" w:rsidR="00A758BB" w:rsidRPr="00F808AB" w:rsidRDefault="00A758BB" w:rsidP="009E7087">
            <w:pPr>
              <w:spacing w:after="0"/>
              <w:textAlignment w:val="top"/>
              <w:rPr>
                <w:rFonts w:ascii="Arial" w:eastAsia="Times New Roman" w:hAnsi="Arial" w:cs="Arial"/>
                <w:sz w:val="36"/>
                <w:szCs w:val="36"/>
                <w:lang w:eastAsia="en-GB"/>
              </w:rPr>
            </w:pPr>
            <w:r w:rsidRPr="00F808AB">
              <w:rPr>
                <w:rFonts w:eastAsia="Times New Roman"/>
                <w:color w:val="000000"/>
                <w:kern w:val="24"/>
                <w:lang w:val="es-ES" w:eastAsia="en-GB"/>
              </w:rPr>
              <w:t> </w:t>
            </w:r>
          </w:p>
        </w:tc>
        <w:tc>
          <w:tcPr>
            <w:tcW w:w="127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7CBFEFCF"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000000"/>
                <w:kern w:val="24"/>
                <w:lang w:val="en-US" w:eastAsia="en-GB"/>
              </w:rPr>
              <w:t> </w:t>
            </w:r>
          </w:p>
        </w:tc>
        <w:tc>
          <w:tcPr>
            <w:tcW w:w="1559"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6A5FD1A8" w14:textId="77777777" w:rsidR="00A758BB" w:rsidRPr="00F808AB" w:rsidRDefault="00A758BB" w:rsidP="009E7087">
            <w:pPr>
              <w:spacing w:after="0"/>
              <w:textAlignment w:val="top"/>
              <w:rPr>
                <w:rFonts w:ascii="Arial" w:eastAsia="Times New Roman" w:hAnsi="Arial" w:cs="Arial"/>
                <w:sz w:val="36"/>
                <w:szCs w:val="36"/>
                <w:lang w:eastAsia="en-GB"/>
              </w:rPr>
            </w:pPr>
            <w:r w:rsidRPr="00F808AB">
              <w:rPr>
                <w:rFonts w:eastAsia="Times New Roman"/>
                <w:color w:val="000000"/>
                <w:kern w:val="24"/>
                <w:lang w:val="es-ES" w:eastAsia="en-GB"/>
              </w:rPr>
              <w:t> </w:t>
            </w:r>
          </w:p>
        </w:tc>
        <w:tc>
          <w:tcPr>
            <w:tcW w:w="212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78FB04CD"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000000"/>
                <w:kern w:val="24"/>
                <w:lang w:val="en-US" w:eastAsia="en-GB"/>
              </w:rPr>
              <w:t>X (HS 2 m)</w:t>
            </w:r>
          </w:p>
        </w:tc>
      </w:tr>
      <w:tr w:rsidR="00A758BB" w:rsidRPr="00F808AB" w14:paraId="221EA866" w14:textId="77777777" w:rsidTr="00A758BB">
        <w:trPr>
          <w:trHeight w:val="227"/>
        </w:trPr>
        <w:tc>
          <w:tcPr>
            <w:tcW w:w="2684"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41742541" w14:textId="77777777" w:rsidR="00A758BB" w:rsidRPr="00F808AB" w:rsidRDefault="00A758BB" w:rsidP="00A758BB">
            <w:pPr>
              <w:spacing w:after="0"/>
              <w:jc w:val="left"/>
              <w:textAlignment w:val="top"/>
              <w:rPr>
                <w:rFonts w:ascii="Arial" w:eastAsia="Times New Roman" w:hAnsi="Arial" w:cs="Arial"/>
                <w:sz w:val="36"/>
                <w:szCs w:val="36"/>
                <w:lang w:eastAsia="en-GB"/>
              </w:rPr>
            </w:pPr>
            <w:r w:rsidRPr="00F808AB">
              <w:rPr>
                <w:rFonts w:eastAsia="Times New Roman"/>
                <w:b/>
                <w:bCs/>
                <w:color w:val="000000"/>
                <w:kern w:val="24"/>
                <w:lang w:val="en-US" w:eastAsia="en-GB"/>
              </w:rPr>
              <w:t>Number of active buoys</w:t>
            </w:r>
          </w:p>
        </w:tc>
        <w:tc>
          <w:tcPr>
            <w:tcW w:w="212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1FC604C8"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000000"/>
                <w:kern w:val="24"/>
                <w:lang w:val="es-ES" w:eastAsia="en-GB"/>
              </w:rPr>
              <w:t>450 (by vessel size)</w:t>
            </w:r>
          </w:p>
        </w:tc>
        <w:tc>
          <w:tcPr>
            <w:tcW w:w="127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0AB24227"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000000"/>
                <w:kern w:val="24"/>
                <w:lang w:val="en-US" w:eastAsia="en-GB"/>
              </w:rPr>
              <w:t>300</w:t>
            </w:r>
          </w:p>
        </w:tc>
        <w:tc>
          <w:tcPr>
            <w:tcW w:w="1559"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73A08F4E"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000000"/>
                <w:kern w:val="24"/>
                <w:lang w:val="en-US" w:eastAsia="en-GB"/>
              </w:rPr>
              <w:t>300</w:t>
            </w:r>
          </w:p>
        </w:tc>
        <w:tc>
          <w:tcPr>
            <w:tcW w:w="212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71A6ABED"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000000"/>
                <w:kern w:val="24"/>
                <w:lang w:val="es-ES" w:eastAsia="en-GB"/>
              </w:rPr>
              <w:t>3</w:t>
            </w:r>
            <w:r w:rsidRPr="00F808AB">
              <w:rPr>
                <w:rFonts w:eastAsia="Times New Roman"/>
                <w:color w:val="000000"/>
                <w:kern w:val="24"/>
                <w:lang w:val="en-US" w:eastAsia="en-GB"/>
              </w:rPr>
              <w:t>50</w:t>
            </w:r>
          </w:p>
        </w:tc>
      </w:tr>
      <w:tr w:rsidR="00A758BB" w:rsidRPr="00F808AB" w14:paraId="1269D82D" w14:textId="77777777" w:rsidTr="00A758BB">
        <w:trPr>
          <w:trHeight w:val="227"/>
        </w:trPr>
        <w:tc>
          <w:tcPr>
            <w:tcW w:w="2684"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0D2F09EE" w14:textId="77777777" w:rsidR="00A758BB" w:rsidRPr="00F808AB" w:rsidRDefault="00A758BB" w:rsidP="00A758BB">
            <w:pPr>
              <w:spacing w:after="0"/>
              <w:jc w:val="left"/>
              <w:textAlignment w:val="top"/>
              <w:rPr>
                <w:rFonts w:ascii="Arial" w:eastAsia="Times New Roman" w:hAnsi="Arial" w:cs="Arial"/>
                <w:sz w:val="36"/>
                <w:szCs w:val="36"/>
                <w:lang w:eastAsia="en-GB"/>
              </w:rPr>
            </w:pPr>
            <w:r w:rsidRPr="00F808AB">
              <w:rPr>
                <w:rFonts w:eastAsia="Times New Roman"/>
                <w:b/>
                <w:bCs/>
                <w:color w:val="000000"/>
                <w:kern w:val="24"/>
                <w:lang w:val="en-US" w:eastAsia="en-GB"/>
              </w:rPr>
              <w:t>Buoy purchases</w:t>
            </w:r>
          </w:p>
        </w:tc>
        <w:tc>
          <w:tcPr>
            <w:tcW w:w="212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609C9DC4" w14:textId="77777777" w:rsidR="00A758BB" w:rsidRPr="00F808AB" w:rsidRDefault="00A758BB" w:rsidP="009E7087">
            <w:pPr>
              <w:spacing w:after="0"/>
              <w:textAlignment w:val="top"/>
              <w:rPr>
                <w:rFonts w:ascii="Arial" w:eastAsia="Times New Roman" w:hAnsi="Arial" w:cs="Arial"/>
                <w:sz w:val="36"/>
                <w:szCs w:val="36"/>
                <w:lang w:eastAsia="en-GB"/>
              </w:rPr>
            </w:pPr>
            <w:r w:rsidRPr="00F808AB">
              <w:rPr>
                <w:rFonts w:eastAsia="Times New Roman"/>
                <w:color w:val="000000"/>
                <w:kern w:val="24"/>
                <w:lang w:val="es-ES" w:eastAsia="en-GB"/>
              </w:rPr>
              <w:t> </w:t>
            </w:r>
          </w:p>
        </w:tc>
        <w:tc>
          <w:tcPr>
            <w:tcW w:w="127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735D4BC8" w14:textId="77777777" w:rsidR="00A758BB" w:rsidRPr="00F808AB" w:rsidRDefault="00A758BB" w:rsidP="009E7087">
            <w:pPr>
              <w:spacing w:after="0"/>
              <w:textAlignment w:val="top"/>
              <w:rPr>
                <w:rFonts w:ascii="Arial" w:eastAsia="Times New Roman" w:hAnsi="Arial" w:cs="Arial"/>
                <w:sz w:val="36"/>
                <w:szCs w:val="36"/>
                <w:lang w:eastAsia="en-GB"/>
              </w:rPr>
            </w:pPr>
            <w:r w:rsidRPr="00F808AB">
              <w:rPr>
                <w:rFonts w:eastAsia="Times New Roman"/>
                <w:color w:val="000000"/>
                <w:kern w:val="24"/>
                <w:lang w:val="es-ES" w:eastAsia="en-GB"/>
              </w:rPr>
              <w:t> </w:t>
            </w:r>
          </w:p>
        </w:tc>
        <w:tc>
          <w:tcPr>
            <w:tcW w:w="1559"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5D3120DB"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000000"/>
                <w:kern w:val="24"/>
                <w:lang w:val="es-ES" w:eastAsia="en-GB"/>
              </w:rPr>
              <w:t>5</w:t>
            </w:r>
            <w:r w:rsidRPr="00F808AB">
              <w:rPr>
                <w:rFonts w:eastAsia="Times New Roman"/>
                <w:color w:val="000000"/>
                <w:kern w:val="24"/>
                <w:lang w:val="en-US" w:eastAsia="en-GB"/>
              </w:rPr>
              <w:t>00</w:t>
            </w:r>
          </w:p>
        </w:tc>
        <w:tc>
          <w:tcPr>
            <w:tcW w:w="212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40C64C4C" w14:textId="77777777" w:rsidR="00A758BB" w:rsidRPr="00F808AB" w:rsidRDefault="00A758BB" w:rsidP="009E7087">
            <w:pPr>
              <w:spacing w:after="0"/>
              <w:textAlignment w:val="top"/>
              <w:rPr>
                <w:rFonts w:ascii="Arial" w:eastAsia="Times New Roman" w:hAnsi="Arial" w:cs="Arial"/>
                <w:sz w:val="36"/>
                <w:szCs w:val="36"/>
                <w:lang w:eastAsia="en-GB"/>
              </w:rPr>
            </w:pPr>
            <w:r w:rsidRPr="00F808AB">
              <w:rPr>
                <w:rFonts w:eastAsia="Times New Roman"/>
                <w:color w:val="000000"/>
                <w:kern w:val="24"/>
                <w:lang w:val="es-ES" w:eastAsia="en-GB"/>
              </w:rPr>
              <w:t> </w:t>
            </w:r>
          </w:p>
        </w:tc>
      </w:tr>
      <w:tr w:rsidR="00A758BB" w:rsidRPr="00F808AB" w14:paraId="086C0023" w14:textId="77777777" w:rsidTr="00A758BB">
        <w:trPr>
          <w:trHeight w:val="227"/>
        </w:trPr>
        <w:tc>
          <w:tcPr>
            <w:tcW w:w="2684"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019704A7" w14:textId="77777777" w:rsidR="00A758BB" w:rsidRPr="00A758BB" w:rsidRDefault="00A758BB" w:rsidP="00A758BB">
            <w:pPr>
              <w:spacing w:after="0"/>
              <w:jc w:val="left"/>
              <w:textAlignment w:val="top"/>
              <w:rPr>
                <w:rFonts w:ascii="Arial" w:eastAsia="Times New Roman" w:hAnsi="Arial" w:cs="Arial"/>
                <w:sz w:val="36"/>
                <w:szCs w:val="36"/>
                <w:lang w:val="en-GB" w:eastAsia="en-GB"/>
              </w:rPr>
            </w:pPr>
            <w:r w:rsidRPr="00F808AB">
              <w:rPr>
                <w:rFonts w:eastAsia="Times New Roman"/>
                <w:b/>
                <w:bCs/>
                <w:color w:val="000000"/>
                <w:kern w:val="24"/>
                <w:lang w:val="en-US" w:eastAsia="en-GB"/>
              </w:rPr>
              <w:t>Number of buoys in stock</w:t>
            </w:r>
          </w:p>
        </w:tc>
        <w:tc>
          <w:tcPr>
            <w:tcW w:w="212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199A2707" w14:textId="77777777" w:rsidR="00A758BB" w:rsidRPr="00A758BB" w:rsidRDefault="00A758BB" w:rsidP="009E7087">
            <w:pPr>
              <w:spacing w:after="0"/>
              <w:textAlignment w:val="top"/>
              <w:rPr>
                <w:rFonts w:ascii="Arial" w:eastAsia="Times New Roman" w:hAnsi="Arial" w:cs="Arial"/>
                <w:sz w:val="36"/>
                <w:szCs w:val="36"/>
                <w:lang w:val="en-GB" w:eastAsia="en-GB"/>
              </w:rPr>
            </w:pPr>
            <w:r w:rsidRPr="00A758BB">
              <w:rPr>
                <w:rFonts w:eastAsia="Times New Roman"/>
                <w:color w:val="000000"/>
                <w:kern w:val="24"/>
                <w:lang w:val="en-GB" w:eastAsia="en-GB"/>
              </w:rPr>
              <w:t> </w:t>
            </w:r>
          </w:p>
        </w:tc>
        <w:tc>
          <w:tcPr>
            <w:tcW w:w="127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49D7FF66" w14:textId="77777777" w:rsidR="00A758BB" w:rsidRPr="00A758BB" w:rsidRDefault="00A758BB" w:rsidP="009E7087">
            <w:pPr>
              <w:spacing w:after="0"/>
              <w:textAlignment w:val="top"/>
              <w:rPr>
                <w:rFonts w:ascii="Arial" w:eastAsia="Times New Roman" w:hAnsi="Arial" w:cs="Arial"/>
                <w:sz w:val="36"/>
                <w:szCs w:val="36"/>
                <w:lang w:val="en-GB" w:eastAsia="en-GB"/>
              </w:rPr>
            </w:pPr>
            <w:r w:rsidRPr="00A758BB">
              <w:rPr>
                <w:rFonts w:eastAsia="Times New Roman"/>
                <w:color w:val="000000"/>
                <w:kern w:val="24"/>
                <w:lang w:val="en-GB" w:eastAsia="en-GB"/>
              </w:rPr>
              <w:t> </w:t>
            </w:r>
          </w:p>
        </w:tc>
        <w:tc>
          <w:tcPr>
            <w:tcW w:w="1559"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7E6DD8CF"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000000"/>
                <w:kern w:val="24"/>
                <w:lang w:val="en-US" w:eastAsia="en-GB"/>
              </w:rPr>
              <w:t>500</w:t>
            </w:r>
          </w:p>
        </w:tc>
        <w:tc>
          <w:tcPr>
            <w:tcW w:w="212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5723832B" w14:textId="77777777" w:rsidR="00A758BB" w:rsidRPr="00F808AB" w:rsidRDefault="00A758BB" w:rsidP="009E7087">
            <w:pPr>
              <w:spacing w:after="0"/>
              <w:textAlignment w:val="top"/>
              <w:rPr>
                <w:rFonts w:ascii="Arial" w:eastAsia="Times New Roman" w:hAnsi="Arial" w:cs="Arial"/>
                <w:sz w:val="36"/>
                <w:szCs w:val="36"/>
                <w:lang w:eastAsia="en-GB"/>
              </w:rPr>
            </w:pPr>
            <w:r w:rsidRPr="00F808AB">
              <w:rPr>
                <w:rFonts w:eastAsia="Times New Roman"/>
                <w:color w:val="000000"/>
                <w:kern w:val="24"/>
                <w:lang w:val="es-ES" w:eastAsia="en-GB"/>
              </w:rPr>
              <w:t> </w:t>
            </w:r>
          </w:p>
        </w:tc>
      </w:tr>
      <w:tr w:rsidR="00A758BB" w:rsidRPr="00F808AB" w14:paraId="39C342EF" w14:textId="77777777" w:rsidTr="00A758BB">
        <w:trPr>
          <w:trHeight w:val="227"/>
        </w:trPr>
        <w:tc>
          <w:tcPr>
            <w:tcW w:w="2684"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324DE754" w14:textId="77777777" w:rsidR="00A758BB" w:rsidRPr="00F808AB" w:rsidRDefault="00A758BB" w:rsidP="00A758BB">
            <w:pPr>
              <w:spacing w:after="0"/>
              <w:jc w:val="left"/>
              <w:textAlignment w:val="top"/>
              <w:rPr>
                <w:rFonts w:ascii="Arial" w:eastAsia="Times New Roman" w:hAnsi="Arial" w:cs="Arial"/>
                <w:sz w:val="36"/>
                <w:szCs w:val="36"/>
                <w:lang w:eastAsia="en-GB"/>
              </w:rPr>
            </w:pPr>
            <w:r w:rsidRPr="00F808AB">
              <w:rPr>
                <w:rFonts w:eastAsia="Times New Roman"/>
                <w:b/>
                <w:bCs/>
                <w:color w:val="000000"/>
                <w:kern w:val="24"/>
                <w:lang w:val="en-US" w:eastAsia="en-GB"/>
              </w:rPr>
              <w:t>Activation exclusively onboard</w:t>
            </w:r>
          </w:p>
        </w:tc>
        <w:tc>
          <w:tcPr>
            <w:tcW w:w="212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71B04639"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000000"/>
                <w:kern w:val="24"/>
                <w:lang w:val="en-US" w:eastAsia="en-GB"/>
              </w:rPr>
              <w:t>X</w:t>
            </w:r>
          </w:p>
        </w:tc>
        <w:tc>
          <w:tcPr>
            <w:tcW w:w="127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1282E834"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FA0000"/>
                <w:kern w:val="24"/>
                <w:lang w:val="en-US" w:eastAsia="en-GB"/>
              </w:rPr>
              <w:t> </w:t>
            </w:r>
          </w:p>
        </w:tc>
        <w:tc>
          <w:tcPr>
            <w:tcW w:w="1559"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4312D128"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000000"/>
                <w:kern w:val="24"/>
                <w:lang w:val="en-US" w:eastAsia="en-GB"/>
              </w:rPr>
              <w:t>X</w:t>
            </w:r>
          </w:p>
        </w:tc>
        <w:tc>
          <w:tcPr>
            <w:tcW w:w="212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43EEC333"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000000"/>
                <w:kern w:val="24"/>
                <w:lang w:val="en-US" w:eastAsia="en-GB"/>
              </w:rPr>
              <w:t>X</w:t>
            </w:r>
          </w:p>
        </w:tc>
      </w:tr>
      <w:tr w:rsidR="00A758BB" w:rsidRPr="00F808AB" w14:paraId="5DB4EC35" w14:textId="77777777" w:rsidTr="00A758BB">
        <w:trPr>
          <w:trHeight w:val="227"/>
        </w:trPr>
        <w:tc>
          <w:tcPr>
            <w:tcW w:w="2684"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12EBA8A3" w14:textId="77777777" w:rsidR="00A758BB" w:rsidRPr="00F808AB" w:rsidRDefault="00A758BB" w:rsidP="00A758BB">
            <w:pPr>
              <w:spacing w:after="0"/>
              <w:jc w:val="left"/>
              <w:textAlignment w:val="top"/>
              <w:rPr>
                <w:rFonts w:ascii="Arial" w:eastAsia="Times New Roman" w:hAnsi="Arial" w:cs="Arial"/>
                <w:sz w:val="36"/>
                <w:szCs w:val="36"/>
                <w:lang w:eastAsia="en-GB"/>
              </w:rPr>
            </w:pPr>
            <w:r w:rsidRPr="00F808AB">
              <w:rPr>
                <w:rFonts w:eastAsia="Times New Roman"/>
                <w:b/>
                <w:bCs/>
                <w:color w:val="000000"/>
                <w:kern w:val="24"/>
                <w:lang w:val="en-US" w:eastAsia="en-GB"/>
              </w:rPr>
              <w:t>FAD deployment Time closure</w:t>
            </w:r>
          </w:p>
        </w:tc>
        <w:tc>
          <w:tcPr>
            <w:tcW w:w="212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75B13893"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000000"/>
                <w:kern w:val="24"/>
                <w:lang w:val="en-US" w:eastAsia="en-GB"/>
              </w:rPr>
              <w:t>X (15d)</w:t>
            </w:r>
          </w:p>
        </w:tc>
        <w:tc>
          <w:tcPr>
            <w:tcW w:w="127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2AD4448F"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000000"/>
                <w:kern w:val="24"/>
                <w:lang w:val="en-US" w:eastAsia="en-GB"/>
              </w:rPr>
              <w:t>X (15d)</w:t>
            </w:r>
          </w:p>
        </w:tc>
        <w:tc>
          <w:tcPr>
            <w:tcW w:w="1559"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2C56DDD2" w14:textId="77777777" w:rsidR="00A758BB" w:rsidRPr="00F808AB" w:rsidRDefault="00A758BB" w:rsidP="009E7087">
            <w:pPr>
              <w:spacing w:after="0"/>
              <w:textAlignment w:val="top"/>
              <w:rPr>
                <w:rFonts w:ascii="Arial" w:eastAsia="Times New Roman" w:hAnsi="Arial" w:cs="Arial"/>
                <w:sz w:val="36"/>
                <w:szCs w:val="36"/>
                <w:lang w:eastAsia="en-GB"/>
              </w:rPr>
            </w:pPr>
            <w:r w:rsidRPr="00F808AB">
              <w:rPr>
                <w:rFonts w:eastAsia="Times New Roman"/>
                <w:color w:val="000000"/>
                <w:kern w:val="24"/>
                <w:lang w:val="es-ES" w:eastAsia="en-GB"/>
              </w:rPr>
              <w:t> </w:t>
            </w:r>
          </w:p>
        </w:tc>
        <w:tc>
          <w:tcPr>
            <w:tcW w:w="212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1B8879CA" w14:textId="77777777" w:rsidR="00A758BB" w:rsidRPr="00F808AB" w:rsidRDefault="00A758BB" w:rsidP="009E7087">
            <w:pPr>
              <w:spacing w:after="0"/>
              <w:textAlignment w:val="top"/>
              <w:rPr>
                <w:rFonts w:ascii="Arial" w:eastAsia="Times New Roman" w:hAnsi="Arial" w:cs="Arial"/>
                <w:sz w:val="36"/>
                <w:szCs w:val="36"/>
                <w:lang w:eastAsia="en-GB"/>
              </w:rPr>
            </w:pPr>
            <w:r w:rsidRPr="00F808AB">
              <w:rPr>
                <w:rFonts w:eastAsia="Times New Roman"/>
                <w:color w:val="000000"/>
                <w:kern w:val="24"/>
                <w:lang w:val="es-ES" w:eastAsia="en-GB"/>
              </w:rPr>
              <w:t> </w:t>
            </w:r>
          </w:p>
        </w:tc>
      </w:tr>
      <w:tr w:rsidR="00A758BB" w:rsidRPr="00F808AB" w14:paraId="0B59C89B" w14:textId="77777777" w:rsidTr="00A758BB">
        <w:trPr>
          <w:trHeight w:val="227"/>
        </w:trPr>
        <w:tc>
          <w:tcPr>
            <w:tcW w:w="2684"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00D6A571" w14:textId="77777777" w:rsidR="00A758BB" w:rsidRPr="00F808AB" w:rsidRDefault="00A758BB" w:rsidP="00A758BB">
            <w:pPr>
              <w:spacing w:after="0"/>
              <w:jc w:val="left"/>
              <w:textAlignment w:val="top"/>
              <w:rPr>
                <w:rFonts w:ascii="Arial" w:eastAsia="Times New Roman" w:hAnsi="Arial" w:cs="Arial"/>
                <w:sz w:val="36"/>
                <w:szCs w:val="36"/>
                <w:lang w:eastAsia="en-GB"/>
              </w:rPr>
            </w:pPr>
            <w:r w:rsidRPr="00F808AB">
              <w:rPr>
                <w:rFonts w:eastAsia="Times New Roman"/>
                <w:b/>
                <w:bCs/>
                <w:color w:val="000000"/>
                <w:kern w:val="24"/>
                <w:lang w:val="en-US" w:eastAsia="en-GB"/>
              </w:rPr>
              <w:t>FAD recovery</w:t>
            </w:r>
          </w:p>
        </w:tc>
        <w:tc>
          <w:tcPr>
            <w:tcW w:w="212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4595A103"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000000"/>
                <w:kern w:val="24"/>
                <w:lang w:val="en-US" w:eastAsia="en-GB"/>
              </w:rPr>
              <w:t>X (15d)</w:t>
            </w:r>
          </w:p>
        </w:tc>
        <w:tc>
          <w:tcPr>
            <w:tcW w:w="127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184EDC71" w14:textId="77777777" w:rsidR="00A758BB" w:rsidRPr="00F808AB" w:rsidRDefault="00A758BB" w:rsidP="009E7087">
            <w:pPr>
              <w:spacing w:after="0"/>
              <w:textAlignment w:val="top"/>
              <w:rPr>
                <w:rFonts w:ascii="Arial" w:eastAsia="Times New Roman" w:hAnsi="Arial" w:cs="Arial"/>
                <w:sz w:val="36"/>
                <w:szCs w:val="36"/>
                <w:lang w:eastAsia="en-GB"/>
              </w:rPr>
            </w:pPr>
            <w:r w:rsidRPr="00F808AB">
              <w:rPr>
                <w:rFonts w:eastAsia="Times New Roman"/>
                <w:color w:val="000000"/>
                <w:kern w:val="24"/>
                <w:lang w:val="es-ES" w:eastAsia="en-GB"/>
              </w:rPr>
              <w:t> </w:t>
            </w:r>
          </w:p>
        </w:tc>
        <w:tc>
          <w:tcPr>
            <w:tcW w:w="1559"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246B8CA8" w14:textId="77777777" w:rsidR="00A758BB" w:rsidRPr="00F808AB" w:rsidRDefault="00A758BB" w:rsidP="009E7087">
            <w:pPr>
              <w:spacing w:after="0"/>
              <w:textAlignment w:val="top"/>
              <w:rPr>
                <w:rFonts w:ascii="Arial" w:eastAsia="Times New Roman" w:hAnsi="Arial" w:cs="Arial"/>
                <w:sz w:val="36"/>
                <w:szCs w:val="36"/>
                <w:lang w:eastAsia="en-GB"/>
              </w:rPr>
            </w:pPr>
            <w:r w:rsidRPr="00F808AB">
              <w:rPr>
                <w:rFonts w:eastAsia="Times New Roman"/>
                <w:color w:val="000000"/>
                <w:kern w:val="24"/>
                <w:lang w:val="es-ES" w:eastAsia="en-GB"/>
              </w:rPr>
              <w:t> </w:t>
            </w:r>
          </w:p>
        </w:tc>
        <w:tc>
          <w:tcPr>
            <w:tcW w:w="212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4CFFC5F3" w14:textId="77777777" w:rsidR="00A758BB" w:rsidRPr="00F808AB" w:rsidRDefault="00A758BB" w:rsidP="009E7087">
            <w:pPr>
              <w:spacing w:after="0"/>
              <w:textAlignment w:val="top"/>
              <w:rPr>
                <w:rFonts w:ascii="Arial" w:eastAsia="Times New Roman" w:hAnsi="Arial" w:cs="Arial"/>
                <w:sz w:val="36"/>
                <w:szCs w:val="36"/>
                <w:lang w:eastAsia="en-GB"/>
              </w:rPr>
            </w:pPr>
            <w:r w:rsidRPr="00F808AB">
              <w:rPr>
                <w:rFonts w:eastAsia="Times New Roman"/>
                <w:color w:val="000000"/>
                <w:kern w:val="24"/>
                <w:lang w:val="es-ES" w:eastAsia="en-GB"/>
              </w:rPr>
              <w:t> </w:t>
            </w:r>
          </w:p>
        </w:tc>
      </w:tr>
      <w:tr w:rsidR="00A758BB" w:rsidRPr="00F808AB" w14:paraId="1ACDDE62" w14:textId="77777777" w:rsidTr="00A758BB">
        <w:trPr>
          <w:trHeight w:val="227"/>
        </w:trPr>
        <w:tc>
          <w:tcPr>
            <w:tcW w:w="2684"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0E71A72C" w14:textId="77777777" w:rsidR="00A758BB" w:rsidRPr="00F808AB" w:rsidRDefault="00A758BB" w:rsidP="00A758BB">
            <w:pPr>
              <w:spacing w:after="0"/>
              <w:jc w:val="left"/>
              <w:textAlignment w:val="top"/>
              <w:rPr>
                <w:rFonts w:ascii="Arial" w:eastAsia="Times New Roman" w:hAnsi="Arial" w:cs="Arial"/>
                <w:sz w:val="36"/>
                <w:szCs w:val="36"/>
                <w:lang w:eastAsia="en-GB"/>
              </w:rPr>
            </w:pPr>
            <w:r w:rsidRPr="00F808AB">
              <w:rPr>
                <w:rFonts w:eastAsia="Times New Roman"/>
                <w:b/>
                <w:bCs/>
                <w:color w:val="000000"/>
                <w:kern w:val="24"/>
                <w:lang w:val="en-US" w:eastAsia="en-GB"/>
              </w:rPr>
              <w:t>Non entangling</w:t>
            </w:r>
          </w:p>
        </w:tc>
        <w:tc>
          <w:tcPr>
            <w:tcW w:w="212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3926F3B0"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000000"/>
                <w:kern w:val="24"/>
                <w:lang w:val="en-US" w:eastAsia="en-GB"/>
              </w:rPr>
              <w:t>X (2019)</w:t>
            </w:r>
          </w:p>
        </w:tc>
        <w:tc>
          <w:tcPr>
            <w:tcW w:w="127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265F8353"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000000"/>
                <w:kern w:val="24"/>
                <w:lang w:val="en-US" w:eastAsia="en-GB"/>
              </w:rPr>
              <w:t>X (2016)</w:t>
            </w:r>
          </w:p>
        </w:tc>
        <w:tc>
          <w:tcPr>
            <w:tcW w:w="1559"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393DDF92"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000000"/>
                <w:kern w:val="24"/>
                <w:lang w:val="en-US" w:eastAsia="en-GB"/>
              </w:rPr>
              <w:t>X (2014)</w:t>
            </w:r>
          </w:p>
        </w:tc>
        <w:tc>
          <w:tcPr>
            <w:tcW w:w="212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15B6A468"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000000"/>
                <w:kern w:val="24"/>
                <w:lang w:val="en-US" w:eastAsia="en-GB"/>
              </w:rPr>
              <w:t>X (2020)</w:t>
            </w:r>
          </w:p>
        </w:tc>
      </w:tr>
      <w:tr w:rsidR="00A758BB" w:rsidRPr="00F808AB" w14:paraId="4F348602" w14:textId="77777777" w:rsidTr="00A758BB">
        <w:trPr>
          <w:trHeight w:val="227"/>
        </w:trPr>
        <w:tc>
          <w:tcPr>
            <w:tcW w:w="2684"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66D91CB5" w14:textId="77777777" w:rsidR="00A758BB" w:rsidRPr="00F808AB" w:rsidRDefault="00A758BB" w:rsidP="00A758BB">
            <w:pPr>
              <w:spacing w:after="0"/>
              <w:jc w:val="left"/>
              <w:textAlignment w:val="top"/>
              <w:rPr>
                <w:rFonts w:ascii="Arial" w:eastAsia="Times New Roman" w:hAnsi="Arial" w:cs="Arial"/>
                <w:sz w:val="36"/>
                <w:szCs w:val="36"/>
                <w:lang w:eastAsia="en-GB"/>
              </w:rPr>
            </w:pPr>
            <w:r w:rsidRPr="00F808AB">
              <w:rPr>
                <w:rFonts w:eastAsia="Times New Roman"/>
                <w:b/>
                <w:bCs/>
                <w:color w:val="000000"/>
                <w:kern w:val="24"/>
                <w:lang w:val="en-US" w:eastAsia="en-GB"/>
              </w:rPr>
              <w:t>Biodegradable</w:t>
            </w:r>
          </w:p>
        </w:tc>
        <w:tc>
          <w:tcPr>
            <w:tcW w:w="212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322F340E" w14:textId="77777777" w:rsidR="00A758BB" w:rsidRPr="00F808AB" w:rsidRDefault="00A758BB" w:rsidP="009E7087">
            <w:pPr>
              <w:spacing w:after="0"/>
              <w:rPr>
                <w:rFonts w:ascii="Arial" w:eastAsia="Times New Roman" w:hAnsi="Arial" w:cs="Arial"/>
                <w:sz w:val="36"/>
                <w:szCs w:val="36"/>
                <w:lang w:eastAsia="en-GB"/>
              </w:rPr>
            </w:pPr>
          </w:p>
        </w:tc>
        <w:tc>
          <w:tcPr>
            <w:tcW w:w="127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57ECD0EE" w14:textId="77777777" w:rsidR="00A758BB" w:rsidRPr="00F808AB" w:rsidRDefault="00A758BB" w:rsidP="009E7087">
            <w:pPr>
              <w:spacing w:after="0"/>
              <w:rPr>
                <w:rFonts w:ascii="Times New Roman" w:eastAsia="Times New Roman" w:hAnsi="Times New Roman" w:cs="Times New Roman"/>
                <w:sz w:val="20"/>
                <w:szCs w:val="20"/>
                <w:lang w:eastAsia="en-GB"/>
              </w:rPr>
            </w:pPr>
          </w:p>
        </w:tc>
        <w:tc>
          <w:tcPr>
            <w:tcW w:w="1559"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33181E1E"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000000"/>
                <w:kern w:val="24"/>
                <w:lang w:val="en-US" w:eastAsia="en-GB"/>
              </w:rPr>
              <w:t>X (2022)</w:t>
            </w:r>
          </w:p>
        </w:tc>
        <w:tc>
          <w:tcPr>
            <w:tcW w:w="212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3F482EB4" w14:textId="77777777" w:rsidR="00A758BB" w:rsidRPr="00F808AB" w:rsidRDefault="00A758BB" w:rsidP="009E7087">
            <w:pPr>
              <w:spacing w:after="0"/>
              <w:rPr>
                <w:rFonts w:ascii="Arial" w:eastAsia="Times New Roman" w:hAnsi="Arial" w:cs="Arial"/>
                <w:sz w:val="36"/>
                <w:szCs w:val="36"/>
                <w:lang w:eastAsia="en-GB"/>
              </w:rPr>
            </w:pPr>
          </w:p>
        </w:tc>
      </w:tr>
      <w:tr w:rsidR="00A758BB" w:rsidRPr="00F808AB" w14:paraId="3A9F185E" w14:textId="77777777" w:rsidTr="00A758BB">
        <w:trPr>
          <w:trHeight w:val="227"/>
        </w:trPr>
        <w:tc>
          <w:tcPr>
            <w:tcW w:w="2684"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2D05D3AB" w14:textId="77777777" w:rsidR="00A758BB" w:rsidRPr="00A758BB" w:rsidRDefault="00A758BB" w:rsidP="00A758BB">
            <w:pPr>
              <w:spacing w:after="0"/>
              <w:jc w:val="left"/>
              <w:textAlignment w:val="top"/>
              <w:rPr>
                <w:rFonts w:ascii="Arial" w:eastAsia="Times New Roman" w:hAnsi="Arial" w:cs="Arial"/>
                <w:sz w:val="36"/>
                <w:szCs w:val="36"/>
                <w:lang w:val="en-GB" w:eastAsia="en-GB"/>
              </w:rPr>
            </w:pPr>
            <w:r w:rsidRPr="00F808AB">
              <w:rPr>
                <w:rFonts w:eastAsia="Times New Roman"/>
                <w:b/>
                <w:bCs/>
                <w:color w:val="000000"/>
                <w:kern w:val="24"/>
                <w:lang w:val="en-US" w:eastAsia="en-GB"/>
              </w:rPr>
              <w:t>Provision of buoy raw data</w:t>
            </w:r>
          </w:p>
        </w:tc>
        <w:tc>
          <w:tcPr>
            <w:tcW w:w="212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539611E6" w14:textId="77777777" w:rsidR="00A758BB" w:rsidRPr="00A758BB" w:rsidRDefault="00A758BB" w:rsidP="009E7087">
            <w:pPr>
              <w:spacing w:after="0"/>
              <w:jc w:val="center"/>
              <w:textAlignment w:val="top"/>
              <w:rPr>
                <w:rFonts w:ascii="Arial" w:eastAsia="Times New Roman" w:hAnsi="Arial" w:cs="Arial"/>
                <w:sz w:val="36"/>
                <w:szCs w:val="36"/>
                <w:lang w:val="en-GB" w:eastAsia="en-GB"/>
              </w:rPr>
            </w:pPr>
            <w:r w:rsidRPr="00F808AB">
              <w:rPr>
                <w:rFonts w:eastAsia="Times New Roman"/>
                <w:color w:val="000000"/>
                <w:kern w:val="24"/>
                <w:lang w:val="en-US" w:eastAsia="en-GB"/>
              </w:rPr>
              <w:t> </w:t>
            </w:r>
          </w:p>
        </w:tc>
        <w:tc>
          <w:tcPr>
            <w:tcW w:w="127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3F398909" w14:textId="77777777" w:rsidR="00A758BB" w:rsidRPr="00A758BB" w:rsidRDefault="00A758BB" w:rsidP="009E7087">
            <w:pPr>
              <w:spacing w:after="0"/>
              <w:jc w:val="center"/>
              <w:textAlignment w:val="top"/>
              <w:rPr>
                <w:rFonts w:ascii="Arial" w:eastAsia="Times New Roman" w:hAnsi="Arial" w:cs="Arial"/>
                <w:sz w:val="36"/>
                <w:szCs w:val="36"/>
                <w:lang w:val="en-GB" w:eastAsia="en-GB"/>
              </w:rPr>
            </w:pPr>
            <w:r w:rsidRPr="00F808AB">
              <w:rPr>
                <w:rFonts w:eastAsia="Times New Roman"/>
                <w:color w:val="000000"/>
                <w:kern w:val="24"/>
                <w:lang w:val="en-US" w:eastAsia="en-GB"/>
              </w:rPr>
              <w:t> </w:t>
            </w:r>
          </w:p>
        </w:tc>
        <w:tc>
          <w:tcPr>
            <w:tcW w:w="1559"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1D4AE800"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000000"/>
                <w:kern w:val="24"/>
                <w:lang w:val="en-US" w:eastAsia="en-GB"/>
              </w:rPr>
              <w:t>X</w:t>
            </w:r>
          </w:p>
        </w:tc>
        <w:tc>
          <w:tcPr>
            <w:tcW w:w="212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5DB317A6"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000000"/>
                <w:kern w:val="24"/>
                <w:lang w:val="en-US" w:eastAsia="en-GB"/>
              </w:rPr>
              <w:t> </w:t>
            </w:r>
          </w:p>
        </w:tc>
      </w:tr>
      <w:tr w:rsidR="00A758BB" w:rsidRPr="00F808AB" w14:paraId="4B452F3E" w14:textId="77777777" w:rsidTr="00A758BB">
        <w:trPr>
          <w:trHeight w:val="227"/>
        </w:trPr>
        <w:tc>
          <w:tcPr>
            <w:tcW w:w="2684"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0476988E" w14:textId="77777777" w:rsidR="00A758BB" w:rsidRPr="00F808AB" w:rsidRDefault="00A758BB" w:rsidP="00A758BB">
            <w:pPr>
              <w:spacing w:after="0"/>
              <w:jc w:val="left"/>
              <w:textAlignment w:val="top"/>
              <w:rPr>
                <w:rFonts w:ascii="Arial" w:eastAsia="Times New Roman" w:hAnsi="Arial" w:cs="Arial"/>
                <w:sz w:val="36"/>
                <w:szCs w:val="36"/>
                <w:lang w:eastAsia="en-GB"/>
              </w:rPr>
            </w:pPr>
            <w:r w:rsidRPr="00F808AB">
              <w:rPr>
                <w:rFonts w:eastAsia="Times New Roman"/>
                <w:b/>
                <w:bCs/>
                <w:color w:val="000000"/>
                <w:kern w:val="24"/>
                <w:lang w:val="es-ES" w:eastAsia="en-GB"/>
              </w:rPr>
              <w:t>Information on lost FADs</w:t>
            </w:r>
          </w:p>
        </w:tc>
        <w:tc>
          <w:tcPr>
            <w:tcW w:w="212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54C74139"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000000"/>
                <w:kern w:val="24"/>
                <w:lang w:val="en-US" w:eastAsia="en-GB"/>
              </w:rPr>
              <w:t> </w:t>
            </w:r>
          </w:p>
        </w:tc>
        <w:tc>
          <w:tcPr>
            <w:tcW w:w="127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7B1E060A"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000000"/>
                <w:kern w:val="24"/>
                <w:lang w:val="en-US" w:eastAsia="en-GB"/>
              </w:rPr>
              <w:t>X</w:t>
            </w:r>
          </w:p>
        </w:tc>
        <w:tc>
          <w:tcPr>
            <w:tcW w:w="1559"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49DAA1C5"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000000"/>
                <w:kern w:val="24"/>
                <w:lang w:val="en-US" w:eastAsia="en-GB"/>
              </w:rPr>
              <w:t> </w:t>
            </w:r>
          </w:p>
        </w:tc>
        <w:tc>
          <w:tcPr>
            <w:tcW w:w="212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637CF162"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000000"/>
                <w:kern w:val="24"/>
                <w:lang w:val="en-US" w:eastAsia="en-GB"/>
              </w:rPr>
              <w:t> </w:t>
            </w:r>
          </w:p>
        </w:tc>
      </w:tr>
      <w:tr w:rsidR="00A758BB" w:rsidRPr="00F808AB" w14:paraId="6E9DE64B" w14:textId="77777777" w:rsidTr="00A758BB">
        <w:trPr>
          <w:trHeight w:val="227"/>
        </w:trPr>
        <w:tc>
          <w:tcPr>
            <w:tcW w:w="2684" w:type="dxa"/>
            <w:tcBorders>
              <w:top w:val="single" w:sz="8" w:space="0" w:color="A3A3A3"/>
              <w:left w:val="single" w:sz="8" w:space="0" w:color="A3A3A3"/>
              <w:bottom w:val="single" w:sz="8" w:space="0" w:color="A3A3A3"/>
              <w:right w:val="single" w:sz="8" w:space="0" w:color="A3A3A3"/>
            </w:tcBorders>
            <w:shd w:val="clear" w:color="auto" w:fill="BFBFBF"/>
            <w:tcMar>
              <w:top w:w="52" w:type="dxa"/>
              <w:left w:w="52" w:type="dxa"/>
              <w:bottom w:w="52" w:type="dxa"/>
              <w:right w:w="52" w:type="dxa"/>
            </w:tcMar>
            <w:hideMark/>
          </w:tcPr>
          <w:p w14:paraId="383233EB" w14:textId="77777777" w:rsidR="00A758BB" w:rsidRPr="00F808AB" w:rsidRDefault="00A758BB" w:rsidP="00A758BB">
            <w:pPr>
              <w:spacing w:after="0"/>
              <w:jc w:val="left"/>
              <w:textAlignment w:val="top"/>
              <w:rPr>
                <w:rFonts w:ascii="Arial" w:eastAsia="Times New Roman" w:hAnsi="Arial" w:cs="Arial"/>
                <w:sz w:val="36"/>
                <w:szCs w:val="36"/>
                <w:lang w:eastAsia="en-GB"/>
              </w:rPr>
            </w:pPr>
            <w:r w:rsidRPr="00F808AB">
              <w:rPr>
                <w:rFonts w:eastAsia="Times New Roman"/>
                <w:b/>
                <w:bCs/>
                <w:color w:val="000000"/>
                <w:kern w:val="24"/>
                <w:lang w:val="en-US" w:eastAsia="en-GB"/>
              </w:rPr>
              <w:t>Other measures</w:t>
            </w:r>
          </w:p>
        </w:tc>
        <w:tc>
          <w:tcPr>
            <w:tcW w:w="2126" w:type="dxa"/>
            <w:tcBorders>
              <w:top w:val="single" w:sz="8" w:space="0" w:color="A3A3A3"/>
              <w:left w:val="single" w:sz="8" w:space="0" w:color="A3A3A3"/>
              <w:bottom w:val="single" w:sz="8" w:space="0" w:color="A3A3A3"/>
              <w:right w:val="single" w:sz="8" w:space="0" w:color="A3A3A3"/>
            </w:tcBorders>
            <w:shd w:val="clear" w:color="auto" w:fill="BFBFBF"/>
            <w:tcMar>
              <w:top w:w="52" w:type="dxa"/>
              <w:left w:w="52" w:type="dxa"/>
              <w:bottom w:w="52" w:type="dxa"/>
              <w:right w:w="52" w:type="dxa"/>
            </w:tcMar>
            <w:hideMark/>
          </w:tcPr>
          <w:p w14:paraId="78FE8267" w14:textId="77777777" w:rsidR="00A758BB" w:rsidRPr="00F808AB" w:rsidRDefault="00A758BB" w:rsidP="009E7087">
            <w:pPr>
              <w:spacing w:after="0"/>
              <w:textAlignment w:val="top"/>
              <w:rPr>
                <w:rFonts w:ascii="Arial" w:eastAsia="Times New Roman" w:hAnsi="Arial" w:cs="Arial"/>
                <w:sz w:val="36"/>
                <w:szCs w:val="36"/>
                <w:lang w:eastAsia="en-GB"/>
              </w:rPr>
            </w:pPr>
            <w:r w:rsidRPr="00F808AB">
              <w:rPr>
                <w:rFonts w:eastAsia="Times New Roman"/>
                <w:color w:val="000000"/>
                <w:kern w:val="24"/>
                <w:lang w:val="es-ES" w:eastAsia="en-GB"/>
              </w:rPr>
              <w:t> </w:t>
            </w:r>
          </w:p>
        </w:tc>
        <w:tc>
          <w:tcPr>
            <w:tcW w:w="1276" w:type="dxa"/>
            <w:tcBorders>
              <w:top w:val="single" w:sz="8" w:space="0" w:color="A3A3A3"/>
              <w:left w:val="single" w:sz="8" w:space="0" w:color="A3A3A3"/>
              <w:bottom w:val="single" w:sz="8" w:space="0" w:color="A3A3A3"/>
              <w:right w:val="single" w:sz="8" w:space="0" w:color="A3A3A3"/>
            </w:tcBorders>
            <w:shd w:val="clear" w:color="auto" w:fill="BFBFBF"/>
            <w:tcMar>
              <w:top w:w="52" w:type="dxa"/>
              <w:left w:w="52" w:type="dxa"/>
              <w:bottom w:w="52" w:type="dxa"/>
              <w:right w:w="52" w:type="dxa"/>
            </w:tcMar>
            <w:hideMark/>
          </w:tcPr>
          <w:p w14:paraId="56DDA6EC" w14:textId="77777777" w:rsidR="00A758BB" w:rsidRPr="00F808AB" w:rsidRDefault="00A758BB" w:rsidP="009E7087">
            <w:pPr>
              <w:spacing w:after="0"/>
              <w:textAlignment w:val="top"/>
              <w:rPr>
                <w:rFonts w:ascii="Arial" w:eastAsia="Times New Roman" w:hAnsi="Arial" w:cs="Arial"/>
                <w:sz w:val="36"/>
                <w:szCs w:val="36"/>
                <w:lang w:eastAsia="en-GB"/>
              </w:rPr>
            </w:pPr>
            <w:r w:rsidRPr="00F808AB">
              <w:rPr>
                <w:rFonts w:eastAsia="Times New Roman"/>
                <w:color w:val="000000"/>
                <w:kern w:val="24"/>
                <w:lang w:val="es-ES" w:eastAsia="en-GB"/>
              </w:rPr>
              <w:t> </w:t>
            </w:r>
          </w:p>
        </w:tc>
        <w:tc>
          <w:tcPr>
            <w:tcW w:w="1559" w:type="dxa"/>
            <w:tcBorders>
              <w:top w:val="single" w:sz="8" w:space="0" w:color="A3A3A3"/>
              <w:left w:val="single" w:sz="8" w:space="0" w:color="A3A3A3"/>
              <w:bottom w:val="single" w:sz="8" w:space="0" w:color="A3A3A3"/>
              <w:right w:val="single" w:sz="8" w:space="0" w:color="A3A3A3"/>
            </w:tcBorders>
            <w:shd w:val="clear" w:color="auto" w:fill="BFBFBF"/>
            <w:tcMar>
              <w:top w:w="52" w:type="dxa"/>
              <w:left w:w="52" w:type="dxa"/>
              <w:bottom w:w="52" w:type="dxa"/>
              <w:right w:w="52" w:type="dxa"/>
            </w:tcMar>
            <w:hideMark/>
          </w:tcPr>
          <w:p w14:paraId="10598F2B" w14:textId="77777777" w:rsidR="00A758BB" w:rsidRPr="00F808AB" w:rsidRDefault="00A758BB" w:rsidP="009E7087">
            <w:pPr>
              <w:spacing w:after="0"/>
              <w:textAlignment w:val="top"/>
              <w:rPr>
                <w:rFonts w:ascii="Arial" w:eastAsia="Times New Roman" w:hAnsi="Arial" w:cs="Arial"/>
                <w:sz w:val="36"/>
                <w:szCs w:val="36"/>
                <w:lang w:eastAsia="en-GB"/>
              </w:rPr>
            </w:pPr>
            <w:r w:rsidRPr="00F808AB">
              <w:rPr>
                <w:rFonts w:eastAsia="Times New Roman"/>
                <w:color w:val="000000"/>
                <w:kern w:val="24"/>
                <w:lang w:val="es-ES" w:eastAsia="en-GB"/>
              </w:rPr>
              <w:t> </w:t>
            </w:r>
          </w:p>
        </w:tc>
        <w:tc>
          <w:tcPr>
            <w:tcW w:w="2126" w:type="dxa"/>
            <w:tcBorders>
              <w:top w:val="single" w:sz="8" w:space="0" w:color="A3A3A3"/>
              <w:left w:val="single" w:sz="8" w:space="0" w:color="A3A3A3"/>
              <w:bottom w:val="single" w:sz="8" w:space="0" w:color="A3A3A3"/>
              <w:right w:val="single" w:sz="8" w:space="0" w:color="A3A3A3"/>
            </w:tcBorders>
            <w:shd w:val="clear" w:color="auto" w:fill="BFBFBF"/>
            <w:tcMar>
              <w:top w:w="52" w:type="dxa"/>
              <w:left w:w="52" w:type="dxa"/>
              <w:bottom w:w="52" w:type="dxa"/>
              <w:right w:w="52" w:type="dxa"/>
            </w:tcMar>
            <w:hideMark/>
          </w:tcPr>
          <w:p w14:paraId="56D61985" w14:textId="77777777" w:rsidR="00A758BB" w:rsidRPr="00F808AB" w:rsidRDefault="00A758BB" w:rsidP="009E7087">
            <w:pPr>
              <w:spacing w:after="0"/>
              <w:textAlignment w:val="top"/>
              <w:rPr>
                <w:rFonts w:ascii="Arial" w:eastAsia="Times New Roman" w:hAnsi="Arial" w:cs="Arial"/>
                <w:sz w:val="36"/>
                <w:szCs w:val="36"/>
                <w:lang w:eastAsia="en-GB"/>
              </w:rPr>
            </w:pPr>
            <w:r w:rsidRPr="00F808AB">
              <w:rPr>
                <w:rFonts w:eastAsia="Times New Roman"/>
                <w:color w:val="000000"/>
                <w:kern w:val="24"/>
                <w:lang w:val="es-ES" w:eastAsia="en-GB"/>
              </w:rPr>
              <w:t> </w:t>
            </w:r>
          </w:p>
        </w:tc>
      </w:tr>
      <w:tr w:rsidR="00A758BB" w:rsidRPr="00F808AB" w14:paraId="2A99B3FF" w14:textId="77777777" w:rsidTr="00A758BB">
        <w:trPr>
          <w:trHeight w:val="227"/>
        </w:trPr>
        <w:tc>
          <w:tcPr>
            <w:tcW w:w="2684"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3A98C96D" w14:textId="77777777" w:rsidR="00A758BB" w:rsidRPr="00F808AB" w:rsidRDefault="00A758BB" w:rsidP="00A758BB">
            <w:pPr>
              <w:spacing w:after="0"/>
              <w:jc w:val="left"/>
              <w:textAlignment w:val="top"/>
              <w:rPr>
                <w:rFonts w:ascii="Arial" w:eastAsia="Times New Roman" w:hAnsi="Arial" w:cs="Arial"/>
                <w:sz w:val="36"/>
                <w:szCs w:val="36"/>
                <w:lang w:eastAsia="en-GB"/>
              </w:rPr>
            </w:pPr>
            <w:r w:rsidRPr="00F808AB">
              <w:rPr>
                <w:rFonts w:eastAsia="Times New Roman"/>
                <w:b/>
                <w:bCs/>
                <w:color w:val="000000"/>
                <w:kern w:val="24"/>
                <w:lang w:val="en-US" w:eastAsia="en-GB"/>
              </w:rPr>
              <w:t>PS Full retention</w:t>
            </w:r>
          </w:p>
        </w:tc>
        <w:tc>
          <w:tcPr>
            <w:tcW w:w="212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12742FF2"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000000"/>
                <w:kern w:val="24"/>
                <w:lang w:val="en-US" w:eastAsia="en-GB"/>
              </w:rPr>
              <w:t>X</w:t>
            </w:r>
          </w:p>
        </w:tc>
        <w:tc>
          <w:tcPr>
            <w:tcW w:w="127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0E60061F"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000000"/>
                <w:kern w:val="24"/>
                <w:lang w:val="en-US" w:eastAsia="en-GB"/>
              </w:rPr>
              <w:t>X</w:t>
            </w:r>
          </w:p>
        </w:tc>
        <w:tc>
          <w:tcPr>
            <w:tcW w:w="1559"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14D79760"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000000"/>
                <w:kern w:val="24"/>
                <w:lang w:val="en-US" w:eastAsia="en-GB"/>
              </w:rPr>
              <w:t>X</w:t>
            </w:r>
          </w:p>
        </w:tc>
        <w:tc>
          <w:tcPr>
            <w:tcW w:w="212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2DD6F5A0"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000000"/>
                <w:kern w:val="24"/>
                <w:lang w:val="en-US" w:eastAsia="en-GB"/>
              </w:rPr>
              <w:t>X</w:t>
            </w:r>
          </w:p>
        </w:tc>
      </w:tr>
      <w:tr w:rsidR="00A758BB" w:rsidRPr="00F808AB" w14:paraId="3E8A4068" w14:textId="77777777" w:rsidTr="00A758BB">
        <w:trPr>
          <w:trHeight w:val="227"/>
        </w:trPr>
        <w:tc>
          <w:tcPr>
            <w:tcW w:w="2684"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659B124E" w14:textId="0B1A08B9" w:rsidR="00A758BB" w:rsidRPr="00F808AB" w:rsidRDefault="00A758BB" w:rsidP="00A758BB">
            <w:pPr>
              <w:spacing w:after="0"/>
              <w:jc w:val="left"/>
              <w:textAlignment w:val="top"/>
              <w:rPr>
                <w:rFonts w:ascii="Arial" w:eastAsia="Times New Roman" w:hAnsi="Arial" w:cs="Arial"/>
                <w:sz w:val="36"/>
                <w:szCs w:val="36"/>
                <w:lang w:eastAsia="en-GB"/>
              </w:rPr>
            </w:pPr>
            <w:r w:rsidRPr="00F808AB">
              <w:rPr>
                <w:rFonts w:eastAsia="Times New Roman"/>
                <w:b/>
                <w:bCs/>
                <w:color w:val="000000"/>
                <w:kern w:val="24"/>
                <w:lang w:val="en-US" w:eastAsia="en-GB"/>
              </w:rPr>
              <w:t xml:space="preserve">PS </w:t>
            </w:r>
            <w:r w:rsidR="005F185B" w:rsidRPr="00F808AB">
              <w:rPr>
                <w:rFonts w:eastAsia="Times New Roman"/>
                <w:b/>
                <w:bCs/>
                <w:color w:val="000000"/>
                <w:kern w:val="24"/>
                <w:lang w:val="en-US" w:eastAsia="en-GB"/>
              </w:rPr>
              <w:t>Transshipment</w:t>
            </w:r>
            <w:r w:rsidRPr="00F808AB">
              <w:rPr>
                <w:rFonts w:eastAsia="Times New Roman"/>
                <w:b/>
                <w:bCs/>
                <w:color w:val="000000"/>
                <w:kern w:val="24"/>
                <w:lang w:val="en-US" w:eastAsia="en-GB"/>
              </w:rPr>
              <w:t xml:space="preserve"> at sea</w:t>
            </w:r>
          </w:p>
        </w:tc>
        <w:tc>
          <w:tcPr>
            <w:tcW w:w="212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091A1DEB"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000000"/>
                <w:kern w:val="24"/>
                <w:lang w:val="en-US" w:eastAsia="en-GB"/>
              </w:rPr>
              <w:t>X</w:t>
            </w:r>
          </w:p>
        </w:tc>
        <w:tc>
          <w:tcPr>
            <w:tcW w:w="127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49FA8335"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000000"/>
                <w:kern w:val="24"/>
                <w:lang w:val="en-US" w:eastAsia="en-GB"/>
              </w:rPr>
              <w:t>X</w:t>
            </w:r>
          </w:p>
        </w:tc>
        <w:tc>
          <w:tcPr>
            <w:tcW w:w="1559"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2A8862FE"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000000"/>
                <w:kern w:val="24"/>
                <w:lang w:val="en-US" w:eastAsia="en-GB"/>
              </w:rPr>
              <w:t>X</w:t>
            </w:r>
          </w:p>
        </w:tc>
        <w:tc>
          <w:tcPr>
            <w:tcW w:w="2126" w:type="dxa"/>
            <w:tcBorders>
              <w:top w:val="single" w:sz="8" w:space="0" w:color="A3A3A3"/>
              <w:left w:val="single" w:sz="8" w:space="0" w:color="A3A3A3"/>
              <w:bottom w:val="single" w:sz="8" w:space="0" w:color="A3A3A3"/>
              <w:right w:val="single" w:sz="8" w:space="0" w:color="A3A3A3"/>
            </w:tcBorders>
            <w:shd w:val="clear" w:color="auto" w:fill="auto"/>
            <w:tcMar>
              <w:top w:w="52" w:type="dxa"/>
              <w:left w:w="52" w:type="dxa"/>
              <w:bottom w:w="52" w:type="dxa"/>
              <w:right w:w="52" w:type="dxa"/>
            </w:tcMar>
            <w:hideMark/>
          </w:tcPr>
          <w:p w14:paraId="4D4A82D7" w14:textId="77777777" w:rsidR="00A758BB" w:rsidRPr="00F808AB" w:rsidRDefault="00A758BB" w:rsidP="009E7087">
            <w:pPr>
              <w:spacing w:after="0"/>
              <w:jc w:val="center"/>
              <w:textAlignment w:val="top"/>
              <w:rPr>
                <w:rFonts w:ascii="Arial" w:eastAsia="Times New Roman" w:hAnsi="Arial" w:cs="Arial"/>
                <w:sz w:val="36"/>
                <w:szCs w:val="36"/>
                <w:lang w:eastAsia="en-GB"/>
              </w:rPr>
            </w:pPr>
            <w:r w:rsidRPr="00F808AB">
              <w:rPr>
                <w:rFonts w:eastAsia="Times New Roman"/>
                <w:color w:val="000000"/>
                <w:kern w:val="24"/>
                <w:lang w:val="en-US" w:eastAsia="en-GB"/>
              </w:rPr>
              <w:t>X</w:t>
            </w:r>
          </w:p>
        </w:tc>
      </w:tr>
    </w:tbl>
    <w:p w14:paraId="1873DCDD" w14:textId="4A98A924" w:rsidR="00A758BB" w:rsidRDefault="00A758BB" w:rsidP="00CC5C67">
      <w:pPr>
        <w:widowControl w:val="0"/>
        <w:spacing w:before="240"/>
        <w:rPr>
          <w:lang w:val="en-GB"/>
        </w:rPr>
      </w:pPr>
    </w:p>
    <w:p w14:paraId="5D9DB320" w14:textId="05EDC5CB" w:rsidR="00A435BF" w:rsidRDefault="00A435BF" w:rsidP="00CC5C67">
      <w:pPr>
        <w:widowControl w:val="0"/>
        <w:spacing w:before="240"/>
        <w:rPr>
          <w:lang w:val="en-GB"/>
        </w:rPr>
      </w:pPr>
    </w:p>
    <w:p w14:paraId="4EFA3AED" w14:textId="77777777" w:rsidR="00A435BF" w:rsidRPr="00A435BF" w:rsidRDefault="00A435BF" w:rsidP="00A435BF">
      <w:pPr>
        <w:widowControl w:val="0"/>
        <w:spacing w:before="240"/>
        <w:rPr>
          <w:b/>
          <w:lang w:val="en-GB"/>
        </w:rPr>
      </w:pPr>
      <w:r w:rsidRPr="00EA1A75">
        <w:rPr>
          <w:b/>
          <w:u w:val="single"/>
          <w:lang w:val="en-GB"/>
        </w:rPr>
        <w:lastRenderedPageBreak/>
        <w:t>ANNEX III</w:t>
      </w:r>
      <w:r w:rsidRPr="00A435BF">
        <w:rPr>
          <w:b/>
          <w:lang w:val="en-GB"/>
        </w:rPr>
        <w:t>: Case study: Labour abuses and human rights violations in third countries that have signed trade agreements with the EU – The case of Vietnam</w:t>
      </w:r>
    </w:p>
    <w:p w14:paraId="70B37F5F" w14:textId="0BA5638D" w:rsidR="00A435BF" w:rsidRPr="00A435BF" w:rsidRDefault="00A435BF" w:rsidP="00A435BF">
      <w:pPr>
        <w:widowControl w:val="0"/>
        <w:spacing w:before="240"/>
        <w:rPr>
          <w:lang w:val="en-GB"/>
        </w:rPr>
      </w:pPr>
      <w:r w:rsidRPr="00A435BF">
        <w:rPr>
          <w:lang w:val="en-GB"/>
        </w:rPr>
        <w:t>While acknowledging that Vietnam has ratified six core conventions</w:t>
      </w:r>
      <w:r w:rsidRPr="00A435BF">
        <w:rPr>
          <w:vertAlign w:val="superscript"/>
          <w:lang w:val="en-GB"/>
        </w:rPr>
        <w:footnoteReference w:id="121"/>
      </w:r>
      <w:r w:rsidRPr="00A435BF">
        <w:rPr>
          <w:lang w:val="en-GB"/>
        </w:rPr>
        <w:t xml:space="preserve"> of ILO, one of the most important conventions for the fishing industry and transposed into Council Directive (EU) 2017/159, namely the ILO Work in Fishing Convention (C188), is lacking in this list. Moreover, for the FTA with Vietnam, ILO C188 was not explicitly mentioned in the sustainable development chapter as a fundamental convention to ratify. Considering that the ILO C188 is applicable to all types of fishing vessels, regardless of their size, and aimed to provide minimum standards to protect fisher</w:t>
      </w:r>
      <w:r w:rsidR="00602A62">
        <w:rPr>
          <w:lang w:val="en-GB"/>
        </w:rPr>
        <w:t>s</w:t>
      </w:r>
      <w:r w:rsidRPr="00A435BF">
        <w:rPr>
          <w:lang w:val="en-GB"/>
        </w:rPr>
        <w:t xml:space="preserve"> in all aspects of their work, this lack of ratification is a massive disregard to responsible fishing by falling short of protecting the living and working conditions of fisher</w:t>
      </w:r>
      <w:r w:rsidR="00602A62">
        <w:rPr>
          <w:lang w:val="en-GB"/>
        </w:rPr>
        <w:t>s</w:t>
      </w:r>
      <w:r w:rsidRPr="00A435BF">
        <w:rPr>
          <w:lang w:val="en-GB"/>
        </w:rPr>
        <w:t xml:space="preserve"> on board. </w:t>
      </w:r>
    </w:p>
    <w:p w14:paraId="312A4138" w14:textId="77777777" w:rsidR="00A435BF" w:rsidRPr="00A435BF" w:rsidRDefault="00A435BF" w:rsidP="00A435BF">
      <w:pPr>
        <w:widowControl w:val="0"/>
        <w:spacing w:before="240"/>
        <w:rPr>
          <w:lang w:val="en-GB"/>
        </w:rPr>
      </w:pPr>
      <w:r w:rsidRPr="00A435BF">
        <w:rPr>
          <w:lang w:val="en-GB"/>
        </w:rPr>
        <w:t>A 2019 report published by the Environmental Justice Foundation (EJF)</w:t>
      </w:r>
      <w:r w:rsidRPr="00A435BF">
        <w:rPr>
          <w:vertAlign w:val="superscript"/>
          <w:lang w:val="en-GB"/>
        </w:rPr>
        <w:footnoteReference w:id="122"/>
      </w:r>
      <w:r w:rsidRPr="00A435BF">
        <w:rPr>
          <w:lang w:val="en-GB"/>
        </w:rPr>
        <w:t xml:space="preserve"> not only found significant levels of IUU among Vietnamese fishing vessels operating across South-East Asia, but the report also revealed that children as young as 11 were being put to work in dirty and unsafe conditions aboard long-distance fishing vessels. These findings suggest that much needs to be done for the Vietnamese sector to become legal, ethical and sustainable.</w:t>
      </w:r>
    </w:p>
    <w:p w14:paraId="3D14D5CA" w14:textId="77777777" w:rsidR="00A435BF" w:rsidRPr="00A435BF" w:rsidRDefault="00A435BF" w:rsidP="00A435BF">
      <w:pPr>
        <w:widowControl w:val="0"/>
        <w:spacing w:before="240"/>
        <w:rPr>
          <w:lang w:val="en-GB"/>
        </w:rPr>
      </w:pPr>
      <w:r w:rsidRPr="00A435BF">
        <w:rPr>
          <w:lang w:val="en-GB"/>
        </w:rPr>
        <w:t xml:space="preserve">In relation to IUU fishing, the European Commission issued, in 2017, a ‘yellow card’ to Vietnam notably for failing to control its distant water fishing fleet. According to the carding decision, Vietnam had some 110,000 active fishing vessels, with around 33,000 of them operating in offshore areas, but only 3,000 of them were equipped with proper tracking equipment. </w:t>
      </w:r>
    </w:p>
    <w:p w14:paraId="635A750E" w14:textId="77777777" w:rsidR="00A435BF" w:rsidRPr="00A435BF" w:rsidRDefault="00A435BF" w:rsidP="00A435BF">
      <w:pPr>
        <w:widowControl w:val="0"/>
        <w:spacing w:before="240"/>
        <w:rPr>
          <w:lang w:val="en-GB"/>
        </w:rPr>
      </w:pPr>
      <w:r w:rsidRPr="00A435BF">
        <w:rPr>
          <w:lang w:val="en-GB"/>
        </w:rPr>
        <w:t xml:space="preserve">Characterised by widespread illegal practices and a worrisome human rights situation, the LDAC fails to see the level of social and environmental sustainability standards in Vietnam as the EU fishing fleet has to meet under EU regulations. Imported products from Vietnam would therefore jeopardise the competitiveness of the EU fishing industry and create unfair competition between EU’s own produce and those imported from Vietnam. </w:t>
      </w:r>
    </w:p>
    <w:p w14:paraId="20498FA7" w14:textId="77777777" w:rsidR="00A435BF" w:rsidRPr="00A435BF" w:rsidRDefault="00A435BF" w:rsidP="00A435BF">
      <w:pPr>
        <w:widowControl w:val="0"/>
        <w:spacing w:before="240"/>
        <w:rPr>
          <w:lang w:val="en-GB"/>
        </w:rPr>
      </w:pPr>
    </w:p>
    <w:p w14:paraId="37657676" w14:textId="77777777" w:rsidR="00A435BF" w:rsidRDefault="00A435BF" w:rsidP="00CC5C67">
      <w:pPr>
        <w:widowControl w:val="0"/>
        <w:spacing w:before="240"/>
        <w:rPr>
          <w:lang w:val="en-GB"/>
        </w:rPr>
      </w:pPr>
    </w:p>
    <w:p w14:paraId="72C2DF4F" w14:textId="5D19EFB6" w:rsidR="00CC5C67" w:rsidRPr="00CC5C67" w:rsidRDefault="009F4E34" w:rsidP="00CC5C67">
      <w:pPr>
        <w:widowControl w:val="0"/>
        <w:spacing w:before="117"/>
        <w:ind w:left="220"/>
        <w:rPr>
          <w:i/>
          <w:color w:val="00B050"/>
          <w:lang w:val="en-GB"/>
        </w:rPr>
      </w:pPr>
      <w:r>
        <w:rPr>
          <w:noProof/>
          <w:lang w:val="en-GB"/>
        </w:rPr>
        <w:pict w14:anchorId="7C9B355F">
          <v:rect id="_x0000_i1025" alt="" style="width:66.25pt;height:.05pt;mso-width-percent:0;mso-height-percent:0;mso-width-percent:0;mso-height-percent:0" o:hrpct="146" o:hralign="center" o:hrstd="t" o:hr="t" fillcolor="#a0a0a0" stroked="f"/>
        </w:pict>
      </w:r>
    </w:p>
    <w:p w14:paraId="4767CF2B" w14:textId="77777777" w:rsidR="00281246" w:rsidRPr="00E94510" w:rsidRDefault="00281246">
      <w:pPr>
        <w:widowControl w:val="0"/>
        <w:spacing w:before="117"/>
        <w:ind w:left="220"/>
        <w:rPr>
          <w:i/>
          <w:color w:val="00B050"/>
          <w:lang w:val="en-GB"/>
        </w:rPr>
      </w:pPr>
    </w:p>
    <w:p w14:paraId="74836E46" w14:textId="77777777" w:rsidR="00281246" w:rsidRPr="00E94510" w:rsidRDefault="00281246">
      <w:pPr>
        <w:widowControl w:val="0"/>
        <w:spacing w:before="117"/>
        <w:ind w:left="220"/>
        <w:rPr>
          <w:i/>
          <w:color w:val="00B050"/>
          <w:lang w:val="en-GB"/>
        </w:rPr>
      </w:pPr>
    </w:p>
    <w:p w14:paraId="02109D4B" w14:textId="77777777" w:rsidR="00281246" w:rsidRPr="00E94510" w:rsidRDefault="00281246">
      <w:pPr>
        <w:widowControl w:val="0"/>
        <w:spacing w:before="240" w:after="240"/>
        <w:rPr>
          <w:highlight w:val="white"/>
          <w:lang w:val="en-GB"/>
        </w:rPr>
      </w:pPr>
    </w:p>
    <w:sectPr w:rsidR="00281246" w:rsidRPr="00E94510">
      <w:headerReference w:type="default" r:id="rId12"/>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E610A" w14:textId="77777777" w:rsidR="009F4E34" w:rsidRDefault="009F4E34">
      <w:pPr>
        <w:spacing w:after="0"/>
      </w:pPr>
      <w:r>
        <w:separator/>
      </w:r>
    </w:p>
  </w:endnote>
  <w:endnote w:type="continuationSeparator" w:id="0">
    <w:p w14:paraId="683F2C15" w14:textId="77777777" w:rsidR="009F4E34" w:rsidRDefault="009F4E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466520"/>
      <w:docPartObj>
        <w:docPartGallery w:val="Page Numbers (Bottom of Page)"/>
        <w:docPartUnique/>
      </w:docPartObj>
    </w:sdtPr>
    <w:sdtEndPr/>
    <w:sdtContent>
      <w:p w14:paraId="0D1A6439" w14:textId="7A46E9D9" w:rsidR="001F330E" w:rsidRPr="001E7EE9" w:rsidRDefault="001F330E">
        <w:pPr>
          <w:pStyle w:val="Footer"/>
          <w:jc w:val="right"/>
          <w:rPr>
            <w:lang w:val="en-US"/>
          </w:rPr>
        </w:pPr>
        <w:r>
          <w:fldChar w:fldCharType="begin"/>
        </w:r>
        <w:r w:rsidRPr="001E7EE9">
          <w:rPr>
            <w:lang w:val="en-US"/>
          </w:rPr>
          <w:instrText>PAGE   \* MERGEFORMAT</w:instrText>
        </w:r>
        <w:r>
          <w:fldChar w:fldCharType="separate"/>
        </w:r>
        <w:r w:rsidRPr="001E7EE9">
          <w:rPr>
            <w:lang w:val="en-US"/>
          </w:rPr>
          <w:t>2</w:t>
        </w:r>
        <w:r>
          <w:fldChar w:fldCharType="end"/>
        </w:r>
      </w:p>
    </w:sdtContent>
  </w:sdt>
  <w:p w14:paraId="7F1813DC" w14:textId="4A7B7F03" w:rsidR="001F330E" w:rsidRPr="007F69EA" w:rsidRDefault="001E7EE9" w:rsidP="00C51AAA">
    <w:pPr>
      <w:jc w:val="center"/>
      <w:rPr>
        <w:sz w:val="21"/>
        <w:szCs w:val="21"/>
        <w:lang w:val="en-IE"/>
      </w:rPr>
    </w:pPr>
    <w:r>
      <w:rPr>
        <w:sz w:val="21"/>
        <w:szCs w:val="21"/>
        <w:lang w:val="en-IE"/>
      </w:rPr>
      <w:t>LDAC Advice on Level Playing Field –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7CB7E" w14:textId="77777777" w:rsidR="009F4E34" w:rsidRDefault="009F4E34">
      <w:pPr>
        <w:spacing w:after="0"/>
      </w:pPr>
      <w:r>
        <w:separator/>
      </w:r>
    </w:p>
  </w:footnote>
  <w:footnote w:type="continuationSeparator" w:id="0">
    <w:p w14:paraId="19C9C6C2" w14:textId="77777777" w:rsidR="009F4E34" w:rsidRDefault="009F4E34">
      <w:pPr>
        <w:spacing w:after="0"/>
      </w:pPr>
      <w:r>
        <w:continuationSeparator/>
      </w:r>
    </w:p>
  </w:footnote>
  <w:footnote w:id="1">
    <w:p w14:paraId="40F61F62" w14:textId="77777777" w:rsidR="001F330E" w:rsidRPr="00ED3367" w:rsidRDefault="001F330E" w:rsidP="00DC55DA">
      <w:pPr>
        <w:spacing w:after="0"/>
        <w:rPr>
          <w:rFonts w:asciiTheme="majorHAnsi" w:hAnsiTheme="majorHAnsi" w:cstheme="majorHAnsi"/>
          <w:sz w:val="18"/>
          <w:szCs w:val="18"/>
        </w:rPr>
      </w:pPr>
      <w:r w:rsidRPr="00ED3367">
        <w:rPr>
          <w:rFonts w:asciiTheme="majorHAnsi" w:hAnsiTheme="majorHAnsi" w:cstheme="majorHAnsi"/>
          <w:sz w:val="18"/>
          <w:szCs w:val="18"/>
          <w:vertAlign w:val="superscript"/>
        </w:rPr>
        <w:footnoteRef/>
      </w:r>
      <w:r w:rsidRPr="00ED3367">
        <w:rPr>
          <w:rFonts w:asciiTheme="majorHAnsi" w:hAnsiTheme="majorHAnsi" w:cstheme="majorHAnsi"/>
          <w:sz w:val="18"/>
          <w:szCs w:val="18"/>
        </w:rPr>
        <w:t xml:space="preserve"> </w:t>
      </w:r>
      <w:hyperlink r:id="rId1">
        <w:r w:rsidRPr="00C36595">
          <w:rPr>
            <w:rStyle w:val="Hyperlink"/>
            <w:sz w:val="18"/>
            <w:szCs w:val="18"/>
          </w:rPr>
          <w:t>https://www.ldac.eu/images/EN_Multi-AC_advice_Blue_Economy_09Dec2020.pdf</w:t>
        </w:r>
      </w:hyperlink>
      <w:hyperlink r:id="rId2">
        <w:r w:rsidRPr="00ED3367">
          <w:rPr>
            <w:rFonts w:asciiTheme="majorHAnsi" w:hAnsiTheme="majorHAnsi" w:cstheme="majorHAnsi"/>
            <w:color w:val="1155CC"/>
            <w:sz w:val="18"/>
            <w:szCs w:val="18"/>
            <w:u w:val="single"/>
            <w:vertAlign w:val="superscript"/>
          </w:rPr>
          <w:t xml:space="preserve"> </w:t>
        </w:r>
      </w:hyperlink>
    </w:p>
  </w:footnote>
  <w:footnote w:id="2">
    <w:p w14:paraId="3D1EBA02" w14:textId="2B090925" w:rsidR="001F330E" w:rsidRPr="00ED3367" w:rsidRDefault="001F330E" w:rsidP="00DC55DA">
      <w:pPr>
        <w:spacing w:after="0"/>
        <w:rPr>
          <w:rFonts w:asciiTheme="majorHAnsi" w:hAnsiTheme="majorHAnsi" w:cstheme="majorHAnsi"/>
          <w:sz w:val="18"/>
          <w:szCs w:val="18"/>
          <w:vertAlign w:val="superscript"/>
        </w:rPr>
      </w:pPr>
      <w:r w:rsidRPr="00ED3367">
        <w:rPr>
          <w:rFonts w:asciiTheme="majorHAnsi" w:hAnsiTheme="majorHAnsi" w:cstheme="majorHAnsi"/>
          <w:sz w:val="18"/>
          <w:szCs w:val="18"/>
          <w:vertAlign w:val="superscript"/>
        </w:rPr>
        <w:footnoteRef/>
      </w:r>
      <w:hyperlink r:id="rId3" w:history="1">
        <w:r w:rsidRPr="00ED3367">
          <w:rPr>
            <w:rStyle w:val="Hyperlink"/>
            <w:rFonts w:asciiTheme="majorHAnsi" w:hAnsiTheme="majorHAnsi" w:cstheme="majorHAnsi"/>
            <w:sz w:val="18"/>
            <w:szCs w:val="18"/>
          </w:rPr>
          <w:t xml:space="preserve">https://ldac.eu/images/EC_Reply_joint_advice_Maritime_sector__a_green_post-COVID_future_22Dec2020.pdf </w:t>
        </w:r>
      </w:hyperlink>
    </w:p>
  </w:footnote>
  <w:footnote w:id="3">
    <w:p w14:paraId="5ED2BC89" w14:textId="0137CB3C" w:rsidR="001F330E" w:rsidRPr="00ED3367" w:rsidRDefault="001F330E" w:rsidP="00FB576F">
      <w:pPr>
        <w:widowControl w:val="0"/>
        <w:spacing w:after="0"/>
        <w:rPr>
          <w:rFonts w:asciiTheme="majorHAnsi" w:hAnsiTheme="majorHAnsi" w:cstheme="majorHAnsi"/>
          <w:sz w:val="18"/>
          <w:szCs w:val="18"/>
          <w:lang w:val="en-IE"/>
        </w:rPr>
      </w:pPr>
      <w:r w:rsidRPr="00ED3367">
        <w:rPr>
          <w:rFonts w:asciiTheme="majorHAnsi" w:hAnsiTheme="majorHAnsi" w:cstheme="majorHAnsi"/>
          <w:sz w:val="18"/>
          <w:szCs w:val="18"/>
          <w:vertAlign w:val="superscript"/>
        </w:rPr>
        <w:footnoteRef/>
      </w:r>
      <w:r w:rsidRPr="00ED3367">
        <w:rPr>
          <w:rFonts w:asciiTheme="majorHAnsi" w:hAnsiTheme="majorHAnsi" w:cstheme="majorHAnsi"/>
          <w:sz w:val="18"/>
          <w:szCs w:val="18"/>
          <w:lang w:val="en-IE"/>
        </w:rPr>
        <w:t xml:space="preserve"> </w:t>
      </w:r>
      <w:r w:rsidRPr="00ED3367">
        <w:rPr>
          <w:rFonts w:asciiTheme="majorHAnsi" w:hAnsiTheme="majorHAnsi" w:cstheme="majorHAnsi"/>
          <w:sz w:val="18"/>
          <w:szCs w:val="18"/>
          <w:lang w:val="en-GB"/>
        </w:rPr>
        <w:t>Own translation; see original text in MARINNLEG (2020),</w:t>
      </w:r>
      <w:r w:rsidRPr="00ED3367">
        <w:rPr>
          <w:rFonts w:asciiTheme="majorHAnsi" w:hAnsiTheme="majorHAnsi" w:cstheme="majorHAnsi"/>
          <w:i/>
          <w:iCs/>
          <w:sz w:val="18"/>
          <w:szCs w:val="18"/>
          <w:lang w:val="en-GB"/>
        </w:rPr>
        <w:t> Level Playing Field y la Pesca. Condiciones principales y recomendaciones</w:t>
      </w:r>
      <w:r w:rsidRPr="00ED3367">
        <w:rPr>
          <w:rFonts w:asciiTheme="majorHAnsi" w:hAnsiTheme="majorHAnsi" w:cstheme="majorHAnsi"/>
          <w:sz w:val="18"/>
          <w:szCs w:val="18"/>
          <w:lang w:val="en-GB"/>
        </w:rPr>
        <w:t>. Vigo, 2020, pp. 3-4</w:t>
      </w:r>
    </w:p>
    <w:p w14:paraId="5597BD7E" w14:textId="77777777" w:rsidR="001F330E" w:rsidRPr="00ED3367" w:rsidRDefault="001F330E" w:rsidP="00FB576F">
      <w:pPr>
        <w:widowControl w:val="0"/>
        <w:spacing w:after="0"/>
        <w:rPr>
          <w:rFonts w:asciiTheme="majorHAnsi" w:hAnsiTheme="majorHAnsi" w:cstheme="majorHAnsi"/>
          <w:sz w:val="18"/>
          <w:szCs w:val="18"/>
          <w:lang w:val="en-GB"/>
        </w:rPr>
      </w:pPr>
      <w:r w:rsidRPr="00ED3367">
        <w:rPr>
          <w:rFonts w:asciiTheme="majorHAnsi" w:hAnsiTheme="majorHAnsi" w:cstheme="majorHAnsi"/>
          <w:sz w:val="18"/>
          <w:szCs w:val="18"/>
          <w:lang w:val="en-IE"/>
        </w:rPr>
        <w:t xml:space="preserve">The starting point for the study was the European Parliament resolution of 30 May 2018 on the implementation of control measures for </w:t>
      </w:r>
      <w:r w:rsidRPr="00285CFD">
        <w:rPr>
          <w:rFonts w:asciiTheme="majorHAnsi" w:hAnsiTheme="majorHAnsi" w:cstheme="majorHAnsi"/>
          <w:sz w:val="18"/>
          <w:szCs w:val="18"/>
          <w:lang w:val="en-IE"/>
        </w:rPr>
        <w:t>establishing the conformity of fisheries products with access criteria to the EU market (</w:t>
      </w:r>
      <w:r w:rsidR="009F4E34">
        <w:fldChar w:fldCharType="begin"/>
      </w:r>
      <w:r w:rsidR="009F4E34" w:rsidRPr="004B3125">
        <w:rPr>
          <w:lang w:val="en-GB"/>
        </w:rPr>
        <w:instrText xml:space="preserve"> HYPERLINK "http://www.europarl.europa.eu/oeil/popups/ficheprocedure.do?lang=en&amp;reference=2017/2129(INI)" \h </w:instrText>
      </w:r>
      <w:r w:rsidR="009F4E34">
        <w:fldChar w:fldCharType="separate"/>
      </w:r>
      <w:r w:rsidRPr="00ED3367">
        <w:rPr>
          <w:rFonts w:asciiTheme="majorHAnsi" w:hAnsiTheme="majorHAnsi" w:cstheme="majorHAnsi"/>
          <w:sz w:val="18"/>
          <w:szCs w:val="18"/>
          <w:lang w:val="en-IE"/>
        </w:rPr>
        <w:t>2017/2129(INI)</w:t>
      </w:r>
      <w:r w:rsidR="009F4E34">
        <w:rPr>
          <w:rFonts w:asciiTheme="majorHAnsi" w:hAnsiTheme="majorHAnsi" w:cstheme="majorHAnsi"/>
          <w:sz w:val="18"/>
          <w:szCs w:val="18"/>
          <w:lang w:val="en-IE"/>
        </w:rPr>
        <w:fldChar w:fldCharType="end"/>
      </w:r>
      <w:r w:rsidRPr="00ED3367">
        <w:rPr>
          <w:rFonts w:asciiTheme="majorHAnsi" w:hAnsiTheme="majorHAnsi" w:cstheme="majorHAnsi"/>
          <w:sz w:val="18"/>
          <w:szCs w:val="18"/>
          <w:lang w:val="en-GB"/>
        </w:rPr>
        <w:t>) about equal treatment or “fair competition” between fishery products coming from EU operators and third countries. In fact, the EP identified disadvantages of community operators against international competitors and the need to comply with more stringent standards in different areas.</w:t>
      </w:r>
    </w:p>
    <w:p w14:paraId="394D6FED" w14:textId="77777777" w:rsidR="001F330E" w:rsidRPr="00D64CB9" w:rsidRDefault="001F330E" w:rsidP="00FB576F">
      <w:pPr>
        <w:widowControl w:val="0"/>
        <w:spacing w:after="0"/>
        <w:rPr>
          <w:rFonts w:asciiTheme="majorHAnsi" w:hAnsiTheme="majorHAnsi" w:cstheme="majorHAnsi"/>
          <w:sz w:val="18"/>
          <w:szCs w:val="18"/>
          <w:lang w:val="en-GB"/>
        </w:rPr>
      </w:pPr>
      <w:r w:rsidRPr="00ED3367">
        <w:rPr>
          <w:rFonts w:asciiTheme="majorHAnsi" w:hAnsiTheme="majorHAnsi" w:cstheme="majorHAnsi"/>
          <w:sz w:val="18"/>
          <w:szCs w:val="18"/>
          <w:lang w:val="en-GB"/>
        </w:rPr>
        <w:t xml:space="preserve">In general terms, the study concluded that there was some distortion and difference in treatment in detriment to EU operators, who are subject to higher costs in terms of controls and more comprehensive documentation. Aspects such as import control, commercial, pricing and customs regulations, competition matters, food security, national protectionist measures and state aid or subsidies were analysed. The disparity of standards could be partially corrected by implementing the instruments of the international law of </w:t>
      </w:r>
      <w:r w:rsidRPr="00285CFD">
        <w:rPr>
          <w:rFonts w:asciiTheme="majorHAnsi" w:hAnsiTheme="majorHAnsi" w:cstheme="majorHAnsi"/>
          <w:sz w:val="18"/>
          <w:szCs w:val="18"/>
          <w:lang w:val="en-GB"/>
        </w:rPr>
        <w:t>the sea related to international labour regulations, as well as by strengthening and improving the social dimension and the common trade policy of the EU.</w:t>
      </w:r>
    </w:p>
  </w:footnote>
  <w:footnote w:id="4">
    <w:p w14:paraId="373CA4E6" w14:textId="77777777" w:rsidR="001F330E" w:rsidRPr="007D09E0" w:rsidRDefault="001F330E" w:rsidP="00971688">
      <w:pPr>
        <w:pStyle w:val="FootnoteText"/>
        <w:rPr>
          <w:rFonts w:asciiTheme="majorHAnsi" w:hAnsiTheme="majorHAnsi" w:cstheme="majorHAnsi"/>
          <w:sz w:val="18"/>
          <w:szCs w:val="18"/>
          <w:lang w:val="en-GB"/>
        </w:rPr>
      </w:pPr>
      <w:r w:rsidRPr="007D09E0">
        <w:rPr>
          <w:rStyle w:val="FootnoteReference"/>
          <w:rFonts w:asciiTheme="majorHAnsi" w:hAnsiTheme="majorHAnsi" w:cstheme="majorHAnsi"/>
          <w:sz w:val="18"/>
          <w:szCs w:val="18"/>
        </w:rPr>
        <w:footnoteRef/>
      </w:r>
      <w:r w:rsidRPr="0072480F">
        <w:rPr>
          <w:rFonts w:asciiTheme="majorHAnsi" w:hAnsiTheme="majorHAnsi" w:cstheme="majorHAnsi"/>
          <w:sz w:val="18"/>
          <w:szCs w:val="18"/>
          <w:lang w:val="en-GB"/>
        </w:rPr>
        <w:t xml:space="preserve"> </w:t>
      </w:r>
      <w:r w:rsidRPr="007D09E0">
        <w:rPr>
          <w:rFonts w:asciiTheme="majorHAnsi" w:hAnsiTheme="majorHAnsi" w:cstheme="majorHAnsi"/>
          <w:sz w:val="18"/>
          <w:szCs w:val="18"/>
          <w:lang w:val="en-GB"/>
        </w:rPr>
        <w:t>EU-27.</w:t>
      </w:r>
    </w:p>
  </w:footnote>
  <w:footnote w:id="5">
    <w:p w14:paraId="2C8EEA57" w14:textId="168B6FB0" w:rsidR="001F330E" w:rsidRPr="007D09E0" w:rsidRDefault="001F330E" w:rsidP="00971688">
      <w:pPr>
        <w:pStyle w:val="FootnoteText"/>
        <w:rPr>
          <w:rFonts w:asciiTheme="majorHAnsi" w:hAnsiTheme="majorHAnsi" w:cstheme="majorHAnsi"/>
          <w:sz w:val="18"/>
          <w:szCs w:val="18"/>
          <w:lang w:val="en-GB"/>
        </w:rPr>
      </w:pPr>
      <w:r w:rsidRPr="007D09E0">
        <w:rPr>
          <w:rStyle w:val="FootnoteReference"/>
          <w:rFonts w:asciiTheme="majorHAnsi" w:hAnsiTheme="majorHAnsi" w:cstheme="majorHAnsi"/>
          <w:sz w:val="18"/>
          <w:szCs w:val="18"/>
        </w:rPr>
        <w:footnoteRef/>
      </w:r>
      <w:r w:rsidR="009F4E34">
        <w:fldChar w:fldCharType="begin"/>
      </w:r>
      <w:r w:rsidR="009F4E34" w:rsidRPr="004B3125">
        <w:rPr>
          <w:lang w:val="en-GB"/>
        </w:rPr>
        <w:instrText xml:space="preserve"> HYPERLINK "https://ec.europa.eu/eurostat/documents/3217494/10934584/KS-EX-20-001-EN-N.pdf/8ac3b640-0c7e-65e2-9f79-d03f00169e17?t=1590936683000" </w:instrText>
      </w:r>
      <w:r w:rsidR="009F4E34">
        <w:fldChar w:fldCharType="separate"/>
      </w:r>
      <w:r w:rsidRPr="007D09E0">
        <w:rPr>
          <w:rStyle w:val="Hyperlink"/>
          <w:rFonts w:asciiTheme="majorHAnsi" w:hAnsiTheme="majorHAnsi" w:cstheme="majorHAnsi"/>
          <w:sz w:val="18"/>
          <w:szCs w:val="18"/>
          <w:lang w:val="en-GB"/>
        </w:rPr>
        <w:t>https://ec.europa.eu/eurostat/documents/3217494/10934584/KS-EX-20-001-EN-N.pdf/8ac3b640-0c7e-65e2-9f79-d03f00169e17?t=1590936683000</w:t>
      </w:r>
      <w:r w:rsidR="009F4E34">
        <w:rPr>
          <w:rStyle w:val="Hyperlink"/>
          <w:rFonts w:asciiTheme="majorHAnsi" w:hAnsiTheme="majorHAnsi" w:cstheme="majorHAnsi"/>
          <w:sz w:val="18"/>
          <w:szCs w:val="18"/>
          <w:lang w:val="en-GB"/>
        </w:rPr>
        <w:fldChar w:fldCharType="end"/>
      </w:r>
      <w:r w:rsidRPr="007D09E0">
        <w:rPr>
          <w:rFonts w:asciiTheme="majorHAnsi" w:hAnsiTheme="majorHAnsi" w:cstheme="majorHAnsi"/>
          <w:sz w:val="18"/>
          <w:szCs w:val="18"/>
          <w:lang w:val="en-GB"/>
        </w:rPr>
        <w:t xml:space="preserve"> </w:t>
      </w:r>
    </w:p>
  </w:footnote>
  <w:footnote w:id="6">
    <w:p w14:paraId="01C0DCD5" w14:textId="77777777" w:rsidR="001F330E" w:rsidRPr="007D09E0" w:rsidRDefault="001F330E" w:rsidP="00971688">
      <w:pPr>
        <w:pStyle w:val="FootnoteText"/>
        <w:rPr>
          <w:rFonts w:asciiTheme="majorHAnsi" w:hAnsiTheme="majorHAnsi" w:cstheme="majorHAnsi"/>
          <w:sz w:val="18"/>
          <w:szCs w:val="18"/>
          <w:lang w:val="en-GB"/>
        </w:rPr>
      </w:pPr>
      <w:r w:rsidRPr="007D09E0">
        <w:rPr>
          <w:rStyle w:val="FootnoteReference"/>
          <w:rFonts w:asciiTheme="majorHAnsi" w:hAnsiTheme="majorHAnsi" w:cstheme="majorHAnsi"/>
          <w:sz w:val="18"/>
          <w:szCs w:val="18"/>
        </w:rPr>
        <w:footnoteRef/>
      </w:r>
      <w:r w:rsidRPr="007D09E0">
        <w:rPr>
          <w:rFonts w:asciiTheme="majorHAnsi" w:hAnsiTheme="majorHAnsi" w:cstheme="majorHAnsi"/>
          <w:sz w:val="18"/>
          <w:szCs w:val="18"/>
          <w:lang w:val="en-GB"/>
        </w:rPr>
        <w:t xml:space="preserve"> </w:t>
      </w:r>
      <w:r w:rsidR="009F4E34">
        <w:fldChar w:fldCharType="begin"/>
      </w:r>
      <w:r w:rsidR="009F4E34" w:rsidRPr="004B3125">
        <w:rPr>
          <w:lang w:val="en-GB"/>
        </w:rPr>
        <w:instrText xml:space="preserve"> HYPERLINK "https://ec.europa.eu/commission/presscorner/detail/en/IP_20_674" </w:instrText>
      </w:r>
      <w:r w:rsidR="009F4E34">
        <w:fldChar w:fldCharType="separate"/>
      </w:r>
      <w:r w:rsidRPr="007D09E0">
        <w:rPr>
          <w:rStyle w:val="Hyperlink"/>
          <w:rFonts w:asciiTheme="majorHAnsi" w:hAnsiTheme="majorHAnsi" w:cstheme="majorHAnsi"/>
          <w:sz w:val="18"/>
          <w:szCs w:val="18"/>
          <w:lang w:val="en-GB"/>
        </w:rPr>
        <w:t>https://ec.europa.eu/commission/presscorner/detail/en/IP_20_674</w:t>
      </w:r>
      <w:r w:rsidR="009F4E34">
        <w:rPr>
          <w:rStyle w:val="Hyperlink"/>
          <w:rFonts w:asciiTheme="majorHAnsi" w:hAnsiTheme="majorHAnsi" w:cstheme="majorHAnsi"/>
          <w:sz w:val="18"/>
          <w:szCs w:val="18"/>
          <w:lang w:val="en-GB"/>
        </w:rPr>
        <w:fldChar w:fldCharType="end"/>
      </w:r>
      <w:r w:rsidRPr="007D09E0">
        <w:rPr>
          <w:rFonts w:asciiTheme="majorHAnsi" w:hAnsiTheme="majorHAnsi" w:cstheme="majorHAnsi"/>
          <w:sz w:val="18"/>
          <w:szCs w:val="18"/>
          <w:lang w:val="en-GB"/>
        </w:rPr>
        <w:t xml:space="preserve"> </w:t>
      </w:r>
    </w:p>
  </w:footnote>
  <w:footnote w:id="7">
    <w:p w14:paraId="5EE486F5" w14:textId="7AE7B084" w:rsidR="001F330E" w:rsidRPr="007D09E0" w:rsidRDefault="001F330E" w:rsidP="00971688">
      <w:pPr>
        <w:pStyle w:val="FootnoteText"/>
        <w:rPr>
          <w:rFonts w:asciiTheme="majorHAnsi" w:hAnsiTheme="majorHAnsi" w:cstheme="majorHAnsi"/>
          <w:sz w:val="18"/>
          <w:szCs w:val="18"/>
          <w:lang w:val="en-GB"/>
        </w:rPr>
      </w:pPr>
      <w:r w:rsidRPr="007D09E0">
        <w:rPr>
          <w:rStyle w:val="FootnoteReference"/>
          <w:rFonts w:asciiTheme="majorHAnsi" w:hAnsiTheme="majorHAnsi" w:cstheme="majorHAnsi"/>
          <w:sz w:val="18"/>
          <w:szCs w:val="18"/>
        </w:rPr>
        <w:footnoteRef/>
      </w:r>
      <w:r w:rsidR="009F4E34">
        <w:fldChar w:fldCharType="begin"/>
      </w:r>
      <w:r w:rsidR="009F4E34" w:rsidRPr="004B3125">
        <w:rPr>
          <w:lang w:val="en-GB"/>
        </w:rPr>
        <w:instrText xml:space="preserve"> HYPERLINK "https://www.eunec.eu/sites/www.eunec.eu/files/attachment/files/politica</w:instrText>
      </w:r>
      <w:r w:rsidR="009F4E34" w:rsidRPr="004B3125">
        <w:rPr>
          <w:lang w:val="en-GB"/>
        </w:rPr>
        <w:instrText xml:space="preserve">l-guidelines-next-commission_en_kopie.pdf" </w:instrText>
      </w:r>
      <w:r w:rsidR="009F4E34">
        <w:fldChar w:fldCharType="separate"/>
      </w:r>
      <w:r w:rsidRPr="007D09E0">
        <w:rPr>
          <w:rStyle w:val="Hyperlink"/>
          <w:rFonts w:asciiTheme="majorHAnsi" w:hAnsiTheme="majorHAnsi" w:cstheme="majorHAnsi"/>
          <w:sz w:val="18"/>
          <w:szCs w:val="18"/>
          <w:lang w:val="en-GB"/>
        </w:rPr>
        <w:t>https://www.eunec.eu/sites/www.eunec.eu/files/attachment/files/political-guidelines-next-commission_en_kopie.pdf</w:t>
      </w:r>
      <w:r w:rsidR="009F4E34">
        <w:rPr>
          <w:rStyle w:val="Hyperlink"/>
          <w:rFonts w:asciiTheme="majorHAnsi" w:hAnsiTheme="majorHAnsi" w:cstheme="majorHAnsi"/>
          <w:sz w:val="18"/>
          <w:szCs w:val="18"/>
          <w:lang w:val="en-GB"/>
        </w:rPr>
        <w:fldChar w:fldCharType="end"/>
      </w:r>
      <w:r w:rsidRPr="007D09E0">
        <w:rPr>
          <w:rFonts w:asciiTheme="majorHAnsi" w:hAnsiTheme="majorHAnsi" w:cstheme="majorHAnsi"/>
          <w:sz w:val="18"/>
          <w:szCs w:val="18"/>
          <w:lang w:val="en-GB"/>
        </w:rPr>
        <w:t xml:space="preserve"> </w:t>
      </w:r>
    </w:p>
  </w:footnote>
  <w:footnote w:id="8">
    <w:p w14:paraId="001A4BF6" w14:textId="38F390A2" w:rsidR="001F330E" w:rsidRPr="007D09E0" w:rsidRDefault="001F330E" w:rsidP="00971688">
      <w:pPr>
        <w:pStyle w:val="FootnoteText"/>
        <w:rPr>
          <w:rFonts w:asciiTheme="majorHAnsi" w:hAnsiTheme="majorHAnsi" w:cstheme="majorHAnsi"/>
          <w:sz w:val="18"/>
          <w:szCs w:val="18"/>
          <w:lang w:val="en-GB"/>
        </w:rPr>
      </w:pPr>
      <w:r w:rsidRPr="007D09E0">
        <w:rPr>
          <w:rStyle w:val="FootnoteReference"/>
          <w:rFonts w:asciiTheme="majorHAnsi" w:hAnsiTheme="majorHAnsi" w:cstheme="majorHAnsi"/>
          <w:sz w:val="18"/>
          <w:szCs w:val="18"/>
        </w:rPr>
        <w:footnoteRef/>
      </w:r>
      <w:r w:rsidRPr="007D09E0">
        <w:rPr>
          <w:rFonts w:asciiTheme="majorHAnsi" w:hAnsiTheme="majorHAnsi" w:cstheme="majorHAnsi"/>
          <w:sz w:val="18"/>
          <w:szCs w:val="18"/>
          <w:lang w:val="en-GB"/>
        </w:rPr>
        <w:t xml:space="preserve"> </w:t>
      </w:r>
      <w:r w:rsidR="009F4E34">
        <w:fldChar w:fldCharType="begin"/>
      </w:r>
      <w:r w:rsidR="009F4E34" w:rsidRPr="004B3125">
        <w:rPr>
          <w:lang w:val="en-GB"/>
        </w:rPr>
        <w:instrText xml:space="preserve"> HYPERLINK "https://ec.europa.eu/info/strategy/priorities-2019-2024_en" </w:instrText>
      </w:r>
      <w:r w:rsidR="009F4E34">
        <w:fldChar w:fldCharType="separate"/>
      </w:r>
      <w:r w:rsidRPr="007D09E0">
        <w:rPr>
          <w:rStyle w:val="Hyperlink"/>
          <w:rFonts w:asciiTheme="majorHAnsi" w:hAnsiTheme="majorHAnsi" w:cstheme="majorHAnsi"/>
          <w:sz w:val="18"/>
          <w:szCs w:val="18"/>
          <w:lang w:val="en-GB"/>
        </w:rPr>
        <w:t>https://ec.europa.eu/info/strategy/priorities-2019-2024_en</w:t>
      </w:r>
      <w:r w:rsidR="009F4E34">
        <w:rPr>
          <w:rStyle w:val="Hyperlink"/>
          <w:rFonts w:asciiTheme="majorHAnsi" w:hAnsiTheme="majorHAnsi" w:cstheme="majorHAnsi"/>
          <w:sz w:val="18"/>
          <w:szCs w:val="18"/>
          <w:lang w:val="en-GB"/>
        </w:rPr>
        <w:fldChar w:fldCharType="end"/>
      </w:r>
      <w:r w:rsidRPr="007D09E0">
        <w:rPr>
          <w:rFonts w:asciiTheme="majorHAnsi" w:hAnsiTheme="majorHAnsi" w:cstheme="majorHAnsi"/>
          <w:sz w:val="18"/>
          <w:szCs w:val="18"/>
          <w:lang w:val="en-GB"/>
        </w:rPr>
        <w:t xml:space="preserve"> </w:t>
      </w:r>
    </w:p>
  </w:footnote>
  <w:footnote w:id="9">
    <w:p w14:paraId="0BE0D684" w14:textId="77777777" w:rsidR="001F330E" w:rsidRPr="007D09E0" w:rsidRDefault="001F330E" w:rsidP="00971688">
      <w:pPr>
        <w:pStyle w:val="FootnoteText"/>
        <w:rPr>
          <w:rFonts w:asciiTheme="majorHAnsi" w:hAnsiTheme="majorHAnsi" w:cstheme="majorHAnsi"/>
          <w:sz w:val="18"/>
          <w:szCs w:val="18"/>
          <w:lang w:val="en-GB"/>
        </w:rPr>
      </w:pPr>
      <w:r w:rsidRPr="007D09E0">
        <w:rPr>
          <w:rStyle w:val="FootnoteReference"/>
          <w:rFonts w:asciiTheme="majorHAnsi" w:hAnsiTheme="majorHAnsi" w:cstheme="majorHAnsi"/>
          <w:sz w:val="18"/>
          <w:szCs w:val="18"/>
        </w:rPr>
        <w:footnoteRef/>
      </w:r>
      <w:r w:rsidRPr="007D09E0">
        <w:rPr>
          <w:rFonts w:asciiTheme="majorHAnsi" w:hAnsiTheme="majorHAnsi" w:cstheme="majorHAnsi"/>
          <w:sz w:val="18"/>
          <w:szCs w:val="18"/>
          <w:lang w:val="en-GB"/>
        </w:rPr>
        <w:t xml:space="preserve"> </w:t>
      </w:r>
      <w:r w:rsidR="009F4E34">
        <w:fldChar w:fldCharType="begin"/>
      </w:r>
      <w:r w:rsidR="009F4E34" w:rsidRPr="004B3125">
        <w:rPr>
          <w:lang w:val="en-GB"/>
        </w:rPr>
        <w:instrText xml:space="preserve"> HYPERLINK "https://www.consilium.europa.eu/en/european-council/role-setting-eu-political-agenda/" </w:instrText>
      </w:r>
      <w:r w:rsidR="009F4E34">
        <w:fldChar w:fldCharType="separate"/>
      </w:r>
      <w:r w:rsidRPr="007D09E0">
        <w:rPr>
          <w:rStyle w:val="Hyperlink"/>
          <w:rFonts w:asciiTheme="majorHAnsi" w:hAnsiTheme="majorHAnsi" w:cstheme="majorHAnsi"/>
          <w:sz w:val="18"/>
          <w:szCs w:val="18"/>
          <w:lang w:val="en-GB"/>
        </w:rPr>
        <w:t>https://www.consilium.europa.eu/en/european-council/role-setting-eu-political-agenda/</w:t>
      </w:r>
      <w:r w:rsidR="009F4E34">
        <w:rPr>
          <w:rStyle w:val="Hyperlink"/>
          <w:rFonts w:asciiTheme="majorHAnsi" w:hAnsiTheme="majorHAnsi" w:cstheme="majorHAnsi"/>
          <w:sz w:val="18"/>
          <w:szCs w:val="18"/>
          <w:lang w:val="en-GB"/>
        </w:rPr>
        <w:fldChar w:fldCharType="end"/>
      </w:r>
      <w:r w:rsidRPr="007D09E0">
        <w:rPr>
          <w:rFonts w:asciiTheme="majorHAnsi" w:hAnsiTheme="majorHAnsi" w:cstheme="majorHAnsi"/>
          <w:sz w:val="18"/>
          <w:szCs w:val="18"/>
          <w:lang w:val="en-GB"/>
        </w:rPr>
        <w:t xml:space="preserve"> </w:t>
      </w:r>
    </w:p>
  </w:footnote>
  <w:footnote w:id="10">
    <w:p w14:paraId="4B9237A2" w14:textId="77777777" w:rsidR="001F330E" w:rsidRPr="007D09E0" w:rsidRDefault="001F330E" w:rsidP="00971688">
      <w:pPr>
        <w:pStyle w:val="FootnoteText"/>
        <w:rPr>
          <w:rFonts w:asciiTheme="majorHAnsi" w:hAnsiTheme="majorHAnsi" w:cstheme="majorHAnsi"/>
          <w:sz w:val="18"/>
          <w:szCs w:val="18"/>
          <w:lang w:val="en-US"/>
        </w:rPr>
      </w:pPr>
      <w:r w:rsidRPr="007D09E0">
        <w:rPr>
          <w:rStyle w:val="FootnoteReference"/>
          <w:rFonts w:asciiTheme="majorHAnsi" w:hAnsiTheme="majorHAnsi" w:cstheme="majorHAnsi"/>
          <w:sz w:val="18"/>
          <w:szCs w:val="18"/>
        </w:rPr>
        <w:footnoteRef/>
      </w:r>
      <w:r w:rsidRPr="007D09E0">
        <w:rPr>
          <w:rFonts w:asciiTheme="majorHAnsi" w:hAnsiTheme="majorHAnsi" w:cstheme="majorHAnsi"/>
          <w:sz w:val="18"/>
          <w:szCs w:val="18"/>
          <w:lang w:val="en-GB"/>
        </w:rPr>
        <w:t xml:space="preserve"> </w:t>
      </w:r>
      <w:r w:rsidRPr="007D09E0">
        <w:rPr>
          <w:rFonts w:asciiTheme="majorHAnsi" w:hAnsiTheme="majorHAnsi" w:cstheme="majorHAnsi"/>
          <w:sz w:val="18"/>
          <w:szCs w:val="18"/>
          <w:lang w:val="en-US"/>
        </w:rPr>
        <w:t>See “Definition and basis of level playing field (LPF) in the international fisheries production”.</w:t>
      </w:r>
    </w:p>
  </w:footnote>
  <w:footnote w:id="11">
    <w:p w14:paraId="4AA97806" w14:textId="77777777" w:rsidR="001F330E" w:rsidRPr="007D09E0" w:rsidRDefault="001F330E" w:rsidP="00971688">
      <w:pPr>
        <w:pStyle w:val="FootnoteText"/>
        <w:rPr>
          <w:rFonts w:asciiTheme="majorHAnsi" w:hAnsiTheme="majorHAnsi" w:cstheme="majorHAnsi"/>
          <w:sz w:val="18"/>
          <w:szCs w:val="18"/>
          <w:lang w:val="en-US"/>
        </w:rPr>
      </w:pPr>
      <w:r w:rsidRPr="007D09E0">
        <w:rPr>
          <w:rStyle w:val="FootnoteReference"/>
          <w:rFonts w:asciiTheme="majorHAnsi" w:hAnsiTheme="majorHAnsi" w:cstheme="majorHAnsi"/>
          <w:sz w:val="18"/>
          <w:szCs w:val="18"/>
        </w:rPr>
        <w:footnoteRef/>
      </w:r>
      <w:r w:rsidRPr="007D09E0">
        <w:rPr>
          <w:rFonts w:asciiTheme="majorHAnsi" w:hAnsiTheme="majorHAnsi" w:cstheme="majorHAnsi"/>
          <w:sz w:val="18"/>
          <w:szCs w:val="18"/>
          <w:lang w:val="en-US"/>
        </w:rPr>
        <w:t xml:space="preserve"> </w:t>
      </w:r>
      <w:r w:rsidR="009F4E34">
        <w:fldChar w:fldCharType="begin"/>
      </w:r>
      <w:r w:rsidR="009F4E34" w:rsidRPr="004B3125">
        <w:rPr>
          <w:lang w:val="en-US"/>
        </w:rPr>
        <w:instrText xml:space="preserve"> HYPERLINK "https://ec.europa.eu/international-partnerships/policy-coherence-development_en" </w:instrText>
      </w:r>
      <w:r w:rsidR="009F4E34">
        <w:fldChar w:fldCharType="separate"/>
      </w:r>
      <w:r w:rsidRPr="007D09E0">
        <w:rPr>
          <w:rStyle w:val="Hyperlink"/>
          <w:rFonts w:asciiTheme="majorHAnsi" w:hAnsiTheme="majorHAnsi" w:cstheme="majorHAnsi"/>
          <w:sz w:val="18"/>
          <w:szCs w:val="18"/>
          <w:lang w:val="en-US"/>
        </w:rPr>
        <w:t>https://ec.europa.eu/international-partnerships/policy-coherence-development_en</w:t>
      </w:r>
      <w:r w:rsidR="009F4E34">
        <w:rPr>
          <w:rStyle w:val="Hyperlink"/>
          <w:rFonts w:asciiTheme="majorHAnsi" w:hAnsiTheme="majorHAnsi" w:cstheme="majorHAnsi"/>
          <w:sz w:val="18"/>
          <w:szCs w:val="18"/>
          <w:lang w:val="en-US"/>
        </w:rPr>
        <w:fldChar w:fldCharType="end"/>
      </w:r>
      <w:r w:rsidRPr="007D09E0">
        <w:rPr>
          <w:rFonts w:asciiTheme="majorHAnsi" w:hAnsiTheme="majorHAnsi" w:cstheme="majorHAnsi"/>
          <w:sz w:val="18"/>
          <w:szCs w:val="18"/>
          <w:lang w:val="en-US"/>
        </w:rPr>
        <w:t xml:space="preserve"> </w:t>
      </w:r>
    </w:p>
  </w:footnote>
  <w:footnote w:id="12">
    <w:p w14:paraId="626E4FB3" w14:textId="7AB91A83" w:rsidR="001F330E" w:rsidRPr="007D09E0" w:rsidRDefault="001F330E" w:rsidP="00971688">
      <w:pPr>
        <w:pStyle w:val="FootnoteText"/>
        <w:rPr>
          <w:rFonts w:asciiTheme="majorHAnsi" w:hAnsiTheme="majorHAnsi" w:cstheme="majorHAnsi"/>
          <w:sz w:val="18"/>
          <w:szCs w:val="18"/>
          <w:lang w:val="en-US"/>
        </w:rPr>
      </w:pPr>
      <w:r w:rsidRPr="007D09E0">
        <w:rPr>
          <w:rStyle w:val="FootnoteReference"/>
          <w:rFonts w:asciiTheme="majorHAnsi" w:hAnsiTheme="majorHAnsi" w:cstheme="majorHAnsi"/>
          <w:sz w:val="18"/>
          <w:szCs w:val="18"/>
        </w:rPr>
        <w:footnoteRef/>
      </w:r>
      <w:r w:rsidR="009F4E34">
        <w:fldChar w:fldCharType="begin"/>
      </w:r>
      <w:r w:rsidR="009F4E34" w:rsidRPr="004B3125">
        <w:rPr>
          <w:lang w:val="en-US"/>
        </w:rPr>
        <w:instrText xml:space="preserve"> HYPERLINK "https://eeas.europa.eu/sites/default/files/en_strategy_on_strength</w:instrText>
      </w:r>
      <w:r w:rsidR="009F4E34" w:rsidRPr="004B3125">
        <w:rPr>
          <w:lang w:val="en-US"/>
        </w:rPr>
        <w:instrText xml:space="preserve">ening_the_eus_contribution_to_rules-based_multilateralism.pdf" </w:instrText>
      </w:r>
      <w:r w:rsidR="009F4E34">
        <w:fldChar w:fldCharType="separate"/>
      </w:r>
      <w:r w:rsidRPr="007D09E0">
        <w:rPr>
          <w:rStyle w:val="Hyperlink"/>
          <w:rFonts w:asciiTheme="majorHAnsi" w:hAnsiTheme="majorHAnsi" w:cstheme="majorHAnsi"/>
          <w:sz w:val="18"/>
          <w:szCs w:val="18"/>
          <w:lang w:val="en-US"/>
        </w:rPr>
        <w:t>https://eeas.europa.eu/sites/default/files/en_strategy_on_strengthening_the_eus_contribution_to_rules-based_multilateralism.pdf</w:t>
      </w:r>
      <w:r w:rsidR="009F4E34">
        <w:rPr>
          <w:rStyle w:val="Hyperlink"/>
          <w:rFonts w:asciiTheme="majorHAnsi" w:hAnsiTheme="majorHAnsi" w:cstheme="majorHAnsi"/>
          <w:sz w:val="18"/>
          <w:szCs w:val="18"/>
          <w:lang w:val="en-US"/>
        </w:rPr>
        <w:fldChar w:fldCharType="end"/>
      </w:r>
      <w:r w:rsidRPr="007D09E0">
        <w:rPr>
          <w:rFonts w:asciiTheme="majorHAnsi" w:hAnsiTheme="majorHAnsi" w:cstheme="majorHAnsi"/>
          <w:sz w:val="18"/>
          <w:szCs w:val="18"/>
          <w:lang w:val="en-US"/>
        </w:rPr>
        <w:t xml:space="preserve"> </w:t>
      </w:r>
    </w:p>
  </w:footnote>
  <w:footnote w:id="13">
    <w:p w14:paraId="3CF477D8" w14:textId="39D843BF" w:rsidR="001F330E" w:rsidRPr="003C1B4F" w:rsidRDefault="001F330E" w:rsidP="00971688">
      <w:pPr>
        <w:pStyle w:val="FootnoteText"/>
        <w:rPr>
          <w:rFonts w:asciiTheme="majorHAnsi" w:hAnsiTheme="majorHAnsi" w:cstheme="majorHAnsi"/>
          <w:sz w:val="18"/>
          <w:szCs w:val="18"/>
          <w:lang w:val="en-US"/>
        </w:rPr>
      </w:pPr>
      <w:r w:rsidRPr="007D09E0">
        <w:rPr>
          <w:rStyle w:val="FootnoteReference"/>
          <w:rFonts w:asciiTheme="majorHAnsi" w:hAnsiTheme="majorHAnsi" w:cstheme="majorHAnsi"/>
          <w:sz w:val="18"/>
          <w:szCs w:val="18"/>
        </w:rPr>
        <w:footnoteRef/>
      </w:r>
      <w:r w:rsidRPr="007D09E0">
        <w:rPr>
          <w:rFonts w:asciiTheme="majorHAnsi" w:hAnsiTheme="majorHAnsi" w:cstheme="majorHAnsi"/>
          <w:sz w:val="18"/>
          <w:szCs w:val="18"/>
          <w:lang w:val="en-US"/>
        </w:rPr>
        <w:t xml:space="preserve"> </w:t>
      </w:r>
      <w:r w:rsidR="0022385C" w:rsidRPr="007D09E0">
        <w:rPr>
          <w:rFonts w:asciiTheme="majorHAnsi" w:hAnsiTheme="majorHAnsi" w:cstheme="majorHAnsi"/>
          <w:sz w:val="18"/>
          <w:szCs w:val="18"/>
          <w:lang w:val="en-US"/>
        </w:rPr>
        <w:t>e.g.,</w:t>
      </w:r>
      <w:r w:rsidRPr="007D09E0">
        <w:rPr>
          <w:rFonts w:asciiTheme="majorHAnsi" w:hAnsiTheme="majorHAnsi" w:cstheme="majorHAnsi"/>
          <w:sz w:val="18"/>
          <w:szCs w:val="18"/>
          <w:lang w:val="en-US"/>
        </w:rPr>
        <w:t xml:space="preserve"> </w:t>
      </w:r>
      <w:r w:rsidR="009F4E34">
        <w:fldChar w:fldCharType="begin"/>
      </w:r>
      <w:r w:rsidR="009F4E34" w:rsidRPr="004B3125">
        <w:rPr>
          <w:lang w:val="en-US"/>
        </w:rPr>
        <w:instrText xml:space="preserve"> HYPERLINK "https://www.europarl.europa.eu/doceo/docu</w:instrText>
      </w:r>
      <w:r w:rsidR="009F4E34" w:rsidRPr="004B3125">
        <w:rPr>
          <w:lang w:val="en-US"/>
        </w:rPr>
        <w:instrText xml:space="preserve">ment/A-7-2013-0297_EN.html" </w:instrText>
      </w:r>
      <w:r w:rsidR="009F4E34">
        <w:fldChar w:fldCharType="separate"/>
      </w:r>
      <w:r w:rsidRPr="003C1B4F">
        <w:rPr>
          <w:rStyle w:val="Hyperlink"/>
          <w:rFonts w:asciiTheme="majorHAnsi" w:hAnsiTheme="majorHAnsi" w:cstheme="majorHAnsi"/>
          <w:sz w:val="18"/>
          <w:szCs w:val="18"/>
          <w:lang w:val="en-US"/>
        </w:rPr>
        <w:t>https://www.europarl.europa.eu/doceo/document/A-7-2013-0297_EN.html</w:t>
      </w:r>
      <w:r w:rsidR="009F4E34">
        <w:rPr>
          <w:rStyle w:val="Hyperlink"/>
          <w:rFonts w:asciiTheme="majorHAnsi" w:hAnsiTheme="majorHAnsi" w:cstheme="majorHAnsi"/>
          <w:sz w:val="18"/>
          <w:szCs w:val="18"/>
          <w:lang w:val="en-US"/>
        </w:rPr>
        <w:fldChar w:fldCharType="end"/>
      </w:r>
      <w:r w:rsidRPr="003C1B4F">
        <w:rPr>
          <w:rFonts w:asciiTheme="majorHAnsi" w:hAnsiTheme="majorHAnsi" w:cstheme="majorHAnsi"/>
          <w:sz w:val="18"/>
          <w:szCs w:val="18"/>
          <w:lang w:val="en-US"/>
        </w:rPr>
        <w:t xml:space="preserve"> </w:t>
      </w:r>
    </w:p>
  </w:footnote>
  <w:footnote w:id="14">
    <w:p w14:paraId="6ACBB92D" w14:textId="77777777" w:rsidR="001F330E" w:rsidRPr="003C1B4F" w:rsidRDefault="001F330E" w:rsidP="003061D2">
      <w:pPr>
        <w:widowControl w:val="0"/>
        <w:spacing w:after="0"/>
        <w:rPr>
          <w:rFonts w:asciiTheme="majorHAnsi" w:hAnsiTheme="majorHAnsi" w:cstheme="majorHAnsi"/>
          <w:sz w:val="18"/>
          <w:szCs w:val="18"/>
          <w:vertAlign w:val="superscript"/>
          <w:lang w:val="en-US"/>
        </w:rPr>
      </w:pPr>
      <w:r w:rsidRPr="00ED3367">
        <w:rPr>
          <w:rFonts w:asciiTheme="majorHAnsi" w:hAnsiTheme="majorHAnsi" w:cstheme="majorHAnsi"/>
          <w:sz w:val="18"/>
          <w:szCs w:val="18"/>
          <w:vertAlign w:val="superscript"/>
        </w:rPr>
        <w:footnoteRef/>
      </w:r>
      <w:r w:rsidRPr="003C1B4F">
        <w:rPr>
          <w:rFonts w:asciiTheme="majorHAnsi" w:hAnsiTheme="majorHAnsi" w:cstheme="majorHAnsi"/>
          <w:sz w:val="18"/>
          <w:szCs w:val="18"/>
          <w:vertAlign w:val="superscript"/>
          <w:lang w:val="en-US"/>
        </w:rPr>
        <w:t xml:space="preserve"> </w:t>
      </w:r>
      <w:r w:rsidR="009F4E34">
        <w:fldChar w:fldCharType="begin"/>
      </w:r>
      <w:r w:rsidR="009F4E34" w:rsidRPr="004B3125">
        <w:rPr>
          <w:lang w:val="en-US"/>
        </w:rPr>
        <w:instrText xml:space="preserve"> HYPERLINK "https://www.un.org/depts/los/convention_agreements/convention_overview_convention.htm" \h </w:instrText>
      </w:r>
      <w:r w:rsidR="009F4E34">
        <w:fldChar w:fldCharType="separate"/>
      </w:r>
      <w:r w:rsidRPr="003C1B4F">
        <w:rPr>
          <w:rStyle w:val="Hyperlink"/>
          <w:sz w:val="18"/>
          <w:szCs w:val="18"/>
          <w:lang w:val="en-US"/>
        </w:rPr>
        <w:t>https://www.un.org/depts/los/convention_agreements/convention_overview_convention.htm</w:t>
      </w:r>
      <w:r w:rsidR="009F4E34">
        <w:rPr>
          <w:rStyle w:val="Hyperlink"/>
          <w:sz w:val="18"/>
          <w:szCs w:val="18"/>
          <w:lang w:val="en-US"/>
        </w:rPr>
        <w:fldChar w:fldCharType="end"/>
      </w:r>
      <w:r w:rsidRPr="003C1B4F">
        <w:rPr>
          <w:rFonts w:asciiTheme="majorHAnsi" w:hAnsiTheme="majorHAnsi" w:cstheme="majorHAnsi"/>
          <w:sz w:val="18"/>
          <w:szCs w:val="18"/>
          <w:vertAlign w:val="superscript"/>
          <w:lang w:val="en-US"/>
        </w:rPr>
        <w:t xml:space="preserve"> </w:t>
      </w:r>
    </w:p>
  </w:footnote>
  <w:footnote w:id="15">
    <w:p w14:paraId="248BEAA3" w14:textId="0E7BBE2A" w:rsidR="001F330E" w:rsidRPr="00ED3367" w:rsidRDefault="001F330E" w:rsidP="003061D2">
      <w:pPr>
        <w:spacing w:after="0"/>
        <w:rPr>
          <w:rFonts w:asciiTheme="majorHAnsi" w:hAnsiTheme="majorHAnsi" w:cstheme="majorHAnsi"/>
          <w:sz w:val="18"/>
          <w:szCs w:val="18"/>
          <w:lang w:val="en-IE"/>
        </w:rPr>
      </w:pPr>
      <w:r w:rsidRPr="00ED3367">
        <w:rPr>
          <w:rFonts w:asciiTheme="majorHAnsi" w:hAnsiTheme="majorHAnsi" w:cstheme="majorHAnsi"/>
          <w:sz w:val="18"/>
          <w:szCs w:val="18"/>
          <w:vertAlign w:val="superscript"/>
        </w:rPr>
        <w:footnoteRef/>
      </w:r>
      <w:r w:rsidRPr="00ED3367">
        <w:rPr>
          <w:rFonts w:asciiTheme="majorHAnsi" w:hAnsiTheme="majorHAnsi" w:cstheme="majorHAnsi"/>
          <w:sz w:val="18"/>
          <w:szCs w:val="18"/>
          <w:lang w:val="en-IE"/>
        </w:rPr>
        <w:t xml:space="preserve"> The regime of maritime spaces set up by UNCLOS gives coastal states jurisdiction over fisheries up to 200 nautical miles where the so-called Exclusive Economic Zone (EEZ) ends. The EEZ regime establishes the duty of coastal states to protect and conserve the marine environment (Article 56.1 a iii) and all provisions related to the conservation of living resources (Article 61) and their sustainable use (Article 62). In addition, the rules set out regarding populations that are within the EEZ of two or more coastal states, or both within the EEZ and in an area beyond and adjacent to it (Article 63) and the highly migratory species (article 64).  The high seas (Article 87) is subject to the states complying with the conventional provisions (Article 116), with the duty to adopt measures for the conservation and administration of living resources (Article 117) and also the obligation to cooperate with other states (Article 118).</w:t>
      </w:r>
    </w:p>
  </w:footnote>
  <w:footnote w:id="16">
    <w:p w14:paraId="26B52949" w14:textId="77777777" w:rsidR="001F330E" w:rsidRPr="00ED3367" w:rsidRDefault="001F330E" w:rsidP="003061D2">
      <w:pPr>
        <w:keepLines/>
        <w:widowControl w:val="0"/>
        <w:spacing w:after="0"/>
        <w:rPr>
          <w:rFonts w:asciiTheme="majorHAnsi" w:hAnsiTheme="majorHAnsi" w:cstheme="majorHAnsi"/>
          <w:sz w:val="18"/>
          <w:szCs w:val="18"/>
          <w:vertAlign w:val="superscript"/>
          <w:lang w:val="en-IE"/>
        </w:rPr>
      </w:pPr>
      <w:r w:rsidRPr="00ED3367">
        <w:rPr>
          <w:rFonts w:asciiTheme="majorHAnsi" w:hAnsiTheme="majorHAnsi" w:cstheme="majorHAnsi"/>
          <w:sz w:val="18"/>
          <w:szCs w:val="18"/>
          <w:vertAlign w:val="superscript"/>
        </w:rPr>
        <w:footnoteRef/>
      </w:r>
      <w:r w:rsidRPr="00ED3367">
        <w:rPr>
          <w:rFonts w:asciiTheme="majorHAnsi" w:hAnsiTheme="majorHAnsi" w:cstheme="majorHAnsi"/>
          <w:sz w:val="18"/>
          <w:szCs w:val="18"/>
          <w:lang w:val="en-IE"/>
        </w:rPr>
        <w:t xml:space="preserve"> Part XI contains 10 articles dealing with procedural aspects (signature, entry into force and provisional application). Nevertheless, Article 2 states that the Agreement and Part XI of the Convention, shall be applied together as a “single instrument”</w:t>
      </w:r>
      <w:r w:rsidRPr="00ED3367">
        <w:rPr>
          <w:rFonts w:asciiTheme="majorHAnsi" w:hAnsiTheme="majorHAnsi" w:cstheme="majorHAnsi"/>
          <w:sz w:val="18"/>
          <w:szCs w:val="18"/>
          <w:vertAlign w:val="superscript"/>
          <w:lang w:val="en-IE"/>
        </w:rPr>
        <w:t>.</w:t>
      </w:r>
    </w:p>
  </w:footnote>
  <w:footnote w:id="17">
    <w:p w14:paraId="0EFDA698" w14:textId="77777777" w:rsidR="001F330E" w:rsidRPr="00ED3367" w:rsidRDefault="001F330E" w:rsidP="003061D2">
      <w:pPr>
        <w:widowControl w:val="0"/>
        <w:spacing w:after="0"/>
        <w:rPr>
          <w:rFonts w:asciiTheme="majorHAnsi" w:hAnsiTheme="majorHAnsi" w:cstheme="majorHAnsi"/>
          <w:sz w:val="18"/>
          <w:szCs w:val="18"/>
          <w:vertAlign w:val="superscript"/>
          <w:lang w:val="en-IE"/>
        </w:rPr>
      </w:pPr>
      <w:r w:rsidRPr="00ED3367">
        <w:rPr>
          <w:rFonts w:asciiTheme="majorHAnsi" w:hAnsiTheme="majorHAnsi" w:cstheme="majorHAnsi"/>
          <w:sz w:val="18"/>
          <w:szCs w:val="18"/>
          <w:vertAlign w:val="superscript"/>
        </w:rPr>
        <w:footnoteRef/>
      </w:r>
      <w:r w:rsidRPr="00ED3367">
        <w:rPr>
          <w:rFonts w:asciiTheme="majorHAnsi" w:hAnsiTheme="majorHAnsi" w:cstheme="majorHAnsi"/>
          <w:sz w:val="18"/>
          <w:szCs w:val="18"/>
          <w:lang w:val="en-IE"/>
        </w:rPr>
        <w:t xml:space="preserve"> International legally binding instrument under the United Nations Convention on the Law of the Sea on the conservation and sustainable use of marine biological diversity of areas beyond national jurisdiction (General Assembly resolution 72/249).</w:t>
      </w:r>
    </w:p>
  </w:footnote>
  <w:footnote w:id="18">
    <w:p w14:paraId="33ECDD3A" w14:textId="77777777" w:rsidR="001F330E" w:rsidRPr="00ED3367" w:rsidRDefault="001F330E" w:rsidP="003061D2">
      <w:pPr>
        <w:widowControl w:val="0"/>
        <w:spacing w:after="0"/>
        <w:rPr>
          <w:rFonts w:asciiTheme="majorHAnsi" w:hAnsiTheme="majorHAnsi" w:cstheme="majorHAnsi"/>
          <w:sz w:val="18"/>
          <w:szCs w:val="18"/>
          <w:vertAlign w:val="superscript"/>
          <w:lang w:val="en-IE"/>
        </w:rPr>
      </w:pPr>
      <w:r w:rsidRPr="00ED3367">
        <w:rPr>
          <w:rFonts w:asciiTheme="majorHAnsi" w:hAnsiTheme="majorHAnsi" w:cstheme="majorHAnsi"/>
          <w:sz w:val="18"/>
          <w:szCs w:val="18"/>
          <w:vertAlign w:val="superscript"/>
        </w:rPr>
        <w:footnoteRef/>
      </w:r>
      <w:r w:rsidRPr="00ED3367">
        <w:rPr>
          <w:rFonts w:asciiTheme="majorHAnsi" w:hAnsiTheme="majorHAnsi" w:cstheme="majorHAnsi"/>
          <w:sz w:val="18"/>
          <w:szCs w:val="18"/>
          <w:lang w:val="en-IE"/>
        </w:rPr>
        <w:t xml:space="preserve"> Art. 48.4.c) draft agreement BBNJ.</w:t>
      </w:r>
    </w:p>
  </w:footnote>
  <w:footnote w:id="19">
    <w:p w14:paraId="20EFC2E7" w14:textId="77777777" w:rsidR="001F330E" w:rsidRPr="00ED3367" w:rsidRDefault="001F330E" w:rsidP="00CA7765">
      <w:pPr>
        <w:widowControl w:val="0"/>
        <w:spacing w:after="0"/>
        <w:jc w:val="left"/>
        <w:rPr>
          <w:rFonts w:asciiTheme="majorHAnsi" w:hAnsiTheme="majorHAnsi" w:cstheme="majorHAnsi"/>
          <w:sz w:val="18"/>
          <w:szCs w:val="18"/>
          <w:vertAlign w:val="superscript"/>
          <w:lang w:val="en-IE"/>
        </w:rPr>
      </w:pPr>
      <w:r w:rsidRPr="00ED3367">
        <w:rPr>
          <w:rFonts w:asciiTheme="majorHAnsi" w:hAnsiTheme="majorHAnsi" w:cstheme="majorHAnsi"/>
          <w:sz w:val="18"/>
          <w:szCs w:val="18"/>
          <w:vertAlign w:val="superscript"/>
        </w:rPr>
        <w:footnoteRef/>
      </w:r>
      <w:r w:rsidRPr="00ED3367">
        <w:rPr>
          <w:rFonts w:asciiTheme="majorHAnsi" w:hAnsiTheme="majorHAnsi" w:cstheme="majorHAnsi"/>
          <w:sz w:val="18"/>
          <w:szCs w:val="18"/>
          <w:vertAlign w:val="superscript"/>
          <w:lang w:val="en-IE"/>
        </w:rPr>
        <w:t xml:space="preserve"> </w:t>
      </w:r>
      <w:r w:rsidRPr="00ED3367">
        <w:rPr>
          <w:rFonts w:asciiTheme="majorHAnsi" w:hAnsiTheme="majorHAnsi" w:cstheme="majorHAnsi"/>
          <w:sz w:val="18"/>
          <w:szCs w:val="18"/>
          <w:lang w:val="en-IE"/>
        </w:rPr>
        <w:t>Agreement to Promote Compliance with International Conservation and Management Measures by Fishing Vessels on the High Seas (FAO Compliance Agreement)</w:t>
      </w:r>
    </w:p>
  </w:footnote>
  <w:footnote w:id="20">
    <w:p w14:paraId="20FC0EA3" w14:textId="77777777" w:rsidR="001F330E" w:rsidRPr="00ED3367" w:rsidRDefault="001F330E" w:rsidP="00CA7765">
      <w:pPr>
        <w:widowControl w:val="0"/>
        <w:spacing w:after="0"/>
        <w:jc w:val="left"/>
        <w:rPr>
          <w:rFonts w:asciiTheme="majorHAnsi" w:hAnsiTheme="majorHAnsi" w:cstheme="majorHAnsi"/>
          <w:sz w:val="18"/>
          <w:szCs w:val="18"/>
          <w:highlight w:val="white"/>
          <w:vertAlign w:val="superscript"/>
          <w:lang w:val="en-IE"/>
        </w:rPr>
      </w:pPr>
      <w:r w:rsidRPr="00ED3367">
        <w:rPr>
          <w:rFonts w:asciiTheme="majorHAnsi" w:hAnsiTheme="majorHAnsi" w:cstheme="majorHAnsi"/>
          <w:sz w:val="18"/>
          <w:szCs w:val="18"/>
          <w:vertAlign w:val="superscript"/>
        </w:rPr>
        <w:footnoteRef/>
      </w:r>
      <w:r w:rsidRPr="00ED3367">
        <w:rPr>
          <w:rFonts w:asciiTheme="majorHAnsi" w:hAnsiTheme="majorHAnsi" w:cstheme="majorHAnsi"/>
          <w:sz w:val="18"/>
          <w:szCs w:val="18"/>
          <w:lang w:val="en-IE"/>
        </w:rPr>
        <w:t xml:space="preserve"> International Plan of Action to Prevent, Deter and Eliminate Illegal, Unreported and Unregulated Fishing (IPOA-IUU)</w:t>
      </w:r>
    </w:p>
  </w:footnote>
  <w:footnote w:id="21">
    <w:p w14:paraId="00CA4921" w14:textId="77777777" w:rsidR="001F330E" w:rsidRPr="007D09E0" w:rsidRDefault="001F330E" w:rsidP="00702AF8">
      <w:pPr>
        <w:spacing w:after="0"/>
        <w:rPr>
          <w:rFonts w:asciiTheme="majorHAnsi" w:hAnsiTheme="majorHAnsi" w:cstheme="majorHAnsi"/>
          <w:sz w:val="18"/>
          <w:szCs w:val="18"/>
          <w:lang w:val="en-IE"/>
        </w:rPr>
      </w:pPr>
      <w:r w:rsidRPr="00ED3367">
        <w:rPr>
          <w:rFonts w:asciiTheme="majorHAnsi" w:hAnsiTheme="majorHAnsi" w:cstheme="majorHAnsi"/>
          <w:sz w:val="18"/>
          <w:szCs w:val="18"/>
          <w:vertAlign w:val="superscript"/>
        </w:rPr>
        <w:footnoteRef/>
      </w:r>
      <w:r w:rsidRPr="00ED3367">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"https://eur-lex.europa.eu/legal-content/EN/TXT/?uri=celex%3A32013R1379" \h </w:instrText>
      </w:r>
      <w:r w:rsidR="009F4E34">
        <w:fldChar w:fldCharType="separate"/>
      </w:r>
      <w:r w:rsidRPr="007D09E0">
        <w:rPr>
          <w:rStyle w:val="Hyperlink"/>
          <w:sz w:val="18"/>
          <w:szCs w:val="18"/>
          <w:lang w:val="en-IE"/>
        </w:rPr>
        <w:t>https://eur-lex.europa.eu/legal-content/EN/TXT/?uri=celex%3A32013R1379</w:t>
      </w:r>
      <w:r w:rsidR="009F4E34">
        <w:rPr>
          <w:rStyle w:val="Hyperlink"/>
          <w:sz w:val="18"/>
          <w:szCs w:val="18"/>
          <w:lang w:val="en-IE"/>
        </w:rPr>
        <w:fldChar w:fldCharType="end"/>
      </w:r>
      <w:r w:rsidRPr="007D09E0">
        <w:rPr>
          <w:rFonts w:asciiTheme="majorHAnsi" w:hAnsiTheme="majorHAnsi" w:cstheme="majorHAnsi"/>
          <w:sz w:val="18"/>
          <w:szCs w:val="18"/>
          <w:lang w:val="en-IE"/>
        </w:rPr>
        <w:t xml:space="preserve"> </w:t>
      </w:r>
    </w:p>
  </w:footnote>
  <w:footnote w:id="22">
    <w:p w14:paraId="6B641628" w14:textId="77777777" w:rsidR="001F330E" w:rsidRPr="007D09E0" w:rsidRDefault="001F330E" w:rsidP="00702AF8">
      <w:pPr>
        <w:spacing w:after="0"/>
        <w:rPr>
          <w:rFonts w:asciiTheme="majorHAnsi" w:hAnsiTheme="majorHAnsi" w:cstheme="majorHAnsi"/>
          <w:sz w:val="18"/>
          <w:szCs w:val="18"/>
          <w:lang w:val="en-IE"/>
        </w:rPr>
      </w:pPr>
      <w:r w:rsidRPr="007D09E0">
        <w:rPr>
          <w:rFonts w:asciiTheme="majorHAnsi" w:hAnsiTheme="majorHAnsi" w:cstheme="majorHAnsi"/>
          <w:sz w:val="18"/>
          <w:szCs w:val="18"/>
          <w:vertAlign w:val="superscript"/>
        </w:rPr>
        <w:footnoteRef/>
      </w:r>
      <w:r w:rsidRPr="007D09E0">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"http://www.fao.org/3/y1224e/Y1224E.pdf" \h </w:instrText>
      </w:r>
      <w:r w:rsidR="009F4E34">
        <w:fldChar w:fldCharType="separate"/>
      </w:r>
      <w:r w:rsidRPr="007D09E0">
        <w:rPr>
          <w:rStyle w:val="Hyperlink"/>
          <w:sz w:val="18"/>
          <w:szCs w:val="18"/>
          <w:lang w:val="en-IE"/>
        </w:rPr>
        <w:t>http://www.fao.org/3/y1224e/Y1224E.pdf</w:t>
      </w:r>
      <w:r w:rsidR="009F4E34">
        <w:rPr>
          <w:rStyle w:val="Hyperlink"/>
          <w:sz w:val="18"/>
          <w:szCs w:val="18"/>
          <w:lang w:val="en-IE"/>
        </w:rPr>
        <w:fldChar w:fldCharType="end"/>
      </w:r>
      <w:r w:rsidRPr="007D09E0">
        <w:rPr>
          <w:rFonts w:asciiTheme="majorHAnsi" w:hAnsiTheme="majorHAnsi" w:cstheme="majorHAnsi"/>
          <w:sz w:val="18"/>
          <w:szCs w:val="18"/>
          <w:lang w:val="en-IE"/>
        </w:rPr>
        <w:t xml:space="preserve"> </w:t>
      </w:r>
    </w:p>
  </w:footnote>
  <w:footnote w:id="23">
    <w:p w14:paraId="79B2EBF3" w14:textId="77777777" w:rsidR="001F330E" w:rsidRPr="007D09E0" w:rsidRDefault="001F330E" w:rsidP="00702AF8">
      <w:pPr>
        <w:spacing w:after="0"/>
        <w:rPr>
          <w:rFonts w:asciiTheme="majorHAnsi" w:hAnsiTheme="majorHAnsi" w:cstheme="majorHAnsi"/>
          <w:sz w:val="18"/>
          <w:szCs w:val="18"/>
          <w:lang w:val="en-IE"/>
        </w:rPr>
      </w:pPr>
      <w:r w:rsidRPr="007D09E0">
        <w:rPr>
          <w:rFonts w:asciiTheme="majorHAnsi" w:hAnsiTheme="majorHAnsi" w:cstheme="majorHAnsi"/>
          <w:sz w:val="18"/>
          <w:szCs w:val="18"/>
          <w:vertAlign w:val="superscript"/>
        </w:rPr>
        <w:footnoteRef/>
      </w:r>
      <w:r w:rsidRPr="007D09E0">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"https://eur-lex.europa.eu/legal-content/EN/TXT/?uri=CELEX:02008R1005-20110309" \h </w:instrText>
      </w:r>
      <w:r w:rsidR="009F4E34">
        <w:fldChar w:fldCharType="separate"/>
      </w:r>
      <w:r w:rsidRPr="007D09E0">
        <w:rPr>
          <w:rStyle w:val="Hyperlink"/>
          <w:sz w:val="18"/>
          <w:szCs w:val="18"/>
          <w:lang w:val="en-IE"/>
        </w:rPr>
        <w:t>https://eur-lex.europa.eu/legal-content/EN/TXT/?uri=CELEX:02008R1005-20110309</w:t>
      </w:r>
      <w:r w:rsidR="009F4E34">
        <w:rPr>
          <w:rStyle w:val="Hyperlink"/>
          <w:sz w:val="18"/>
          <w:szCs w:val="18"/>
          <w:lang w:val="en-IE"/>
        </w:rPr>
        <w:fldChar w:fldCharType="end"/>
      </w:r>
      <w:r w:rsidRPr="007D09E0">
        <w:rPr>
          <w:rFonts w:asciiTheme="majorHAnsi" w:hAnsiTheme="majorHAnsi" w:cstheme="majorHAnsi"/>
          <w:sz w:val="18"/>
          <w:szCs w:val="18"/>
          <w:lang w:val="en-IE"/>
        </w:rPr>
        <w:t xml:space="preserve"> </w:t>
      </w:r>
    </w:p>
  </w:footnote>
  <w:footnote w:id="24">
    <w:p w14:paraId="6012B28D" w14:textId="25CCC492" w:rsidR="001F330E" w:rsidRPr="007D09E0" w:rsidRDefault="001F330E" w:rsidP="00702AF8">
      <w:pPr>
        <w:spacing w:after="0"/>
        <w:rPr>
          <w:rFonts w:asciiTheme="majorHAnsi" w:hAnsiTheme="majorHAnsi" w:cstheme="majorHAnsi"/>
          <w:sz w:val="18"/>
          <w:szCs w:val="18"/>
          <w:lang w:val="en-IE"/>
        </w:rPr>
      </w:pPr>
      <w:r w:rsidRPr="007D09E0">
        <w:rPr>
          <w:rFonts w:asciiTheme="majorHAnsi" w:hAnsiTheme="majorHAnsi" w:cstheme="majorHAnsi"/>
          <w:sz w:val="18"/>
          <w:szCs w:val="18"/>
          <w:vertAlign w:val="superscript"/>
        </w:rPr>
        <w:footnoteRef/>
      </w:r>
      <w:r w:rsidRPr="007D09E0">
        <w:rPr>
          <w:rFonts w:asciiTheme="majorHAnsi" w:hAnsiTheme="majorHAnsi" w:cstheme="majorHAnsi"/>
          <w:sz w:val="18"/>
          <w:szCs w:val="18"/>
          <w:lang w:val="en-IE"/>
        </w:rPr>
        <w:t xml:space="preserve"> COM (2019) 640 of 11 December 2019.</w:t>
      </w:r>
    </w:p>
  </w:footnote>
  <w:footnote w:id="25">
    <w:p w14:paraId="4858AD01" w14:textId="3B9DCA3D" w:rsidR="001F330E" w:rsidRPr="007D09E0" w:rsidRDefault="001F330E" w:rsidP="00702AF8">
      <w:pPr>
        <w:spacing w:after="0"/>
        <w:rPr>
          <w:rFonts w:asciiTheme="majorHAnsi" w:hAnsiTheme="majorHAnsi" w:cstheme="majorHAnsi"/>
          <w:sz w:val="18"/>
          <w:szCs w:val="18"/>
          <w:lang w:val="en-IE"/>
        </w:rPr>
      </w:pPr>
      <w:r w:rsidRPr="007D09E0">
        <w:rPr>
          <w:rFonts w:asciiTheme="majorHAnsi" w:hAnsiTheme="majorHAnsi" w:cstheme="majorHAnsi"/>
          <w:sz w:val="18"/>
          <w:szCs w:val="18"/>
          <w:vertAlign w:val="superscript"/>
        </w:rPr>
        <w:footnoteRef/>
      </w:r>
      <w:r w:rsidRPr="007D09E0">
        <w:rPr>
          <w:rFonts w:asciiTheme="majorHAnsi" w:hAnsiTheme="majorHAnsi" w:cstheme="majorHAnsi"/>
          <w:sz w:val="18"/>
          <w:szCs w:val="18"/>
          <w:lang w:val="en-IE"/>
        </w:rPr>
        <w:t xml:space="preserve">  COM (2020) 380 of 20 May 2020.</w:t>
      </w:r>
    </w:p>
  </w:footnote>
  <w:footnote w:id="26">
    <w:p w14:paraId="0CF1DAC7" w14:textId="2F645EA7" w:rsidR="001F330E" w:rsidRPr="007D09E0" w:rsidRDefault="001F330E" w:rsidP="00702AF8">
      <w:pPr>
        <w:spacing w:after="0"/>
        <w:rPr>
          <w:rFonts w:asciiTheme="majorHAnsi" w:hAnsiTheme="majorHAnsi" w:cstheme="majorHAnsi"/>
          <w:sz w:val="18"/>
          <w:szCs w:val="18"/>
          <w:lang w:val="en-IE"/>
        </w:rPr>
      </w:pPr>
      <w:r w:rsidRPr="007D09E0">
        <w:rPr>
          <w:rFonts w:asciiTheme="majorHAnsi" w:hAnsiTheme="majorHAnsi" w:cstheme="majorHAnsi"/>
          <w:sz w:val="18"/>
          <w:szCs w:val="18"/>
          <w:vertAlign w:val="superscript"/>
        </w:rPr>
        <w:footnoteRef/>
      </w:r>
      <w:r w:rsidRPr="007D09E0">
        <w:rPr>
          <w:rFonts w:asciiTheme="majorHAnsi" w:hAnsiTheme="majorHAnsi" w:cstheme="majorHAnsi"/>
          <w:sz w:val="18"/>
          <w:szCs w:val="18"/>
          <w:lang w:val="en-IE"/>
        </w:rPr>
        <w:t xml:space="preserve"> COM (2020) 381 of 20 May 2020.</w:t>
      </w:r>
    </w:p>
  </w:footnote>
  <w:footnote w:id="27">
    <w:p w14:paraId="3562CED9" w14:textId="77777777" w:rsidR="001F330E" w:rsidRPr="007D09E0" w:rsidRDefault="001F330E" w:rsidP="00702AF8">
      <w:pPr>
        <w:spacing w:after="0"/>
        <w:rPr>
          <w:rStyle w:val="Hyperlink"/>
          <w:rFonts w:asciiTheme="majorHAnsi" w:hAnsiTheme="majorHAnsi" w:cstheme="majorHAnsi"/>
          <w:sz w:val="18"/>
          <w:szCs w:val="18"/>
          <w:lang w:val="en-IE"/>
        </w:rPr>
      </w:pPr>
      <w:r w:rsidRPr="007D09E0">
        <w:rPr>
          <w:rFonts w:asciiTheme="majorHAnsi" w:hAnsiTheme="majorHAnsi" w:cstheme="majorHAnsi"/>
          <w:sz w:val="18"/>
          <w:szCs w:val="18"/>
          <w:vertAlign w:val="superscript"/>
        </w:rPr>
        <w:footnoteRef/>
      </w:r>
      <w:r w:rsidRPr="007D09E0">
        <w:rPr>
          <w:rFonts w:asciiTheme="majorHAnsi" w:hAnsiTheme="majorHAnsi" w:cstheme="majorHAnsi"/>
          <w:sz w:val="18"/>
          <w:szCs w:val="18"/>
          <w:lang w:val="en-IE"/>
        </w:rPr>
        <w:t xml:space="preserve"> </w:t>
      </w:r>
      <w:r w:rsidR="009F4E34">
        <w:fldChar w:fldCharType="begin"/>
      </w:r>
      <w:r w:rsidR="009F4E34" w:rsidRPr="004B3125">
        <w:rPr>
          <w:lang w:val="en-GB"/>
        </w:rPr>
        <w:instrText xml:space="preserve"> HYPERLINK "https://ec.europa.eu/maritimeaffairs/sites/maritimeaffairs/files/join-2016-49_en.pdf" \h </w:instrText>
      </w:r>
      <w:r w:rsidR="009F4E34">
        <w:fldChar w:fldCharType="separate"/>
      </w:r>
      <w:r w:rsidRPr="007D09E0">
        <w:rPr>
          <w:rStyle w:val="Hyperlink"/>
          <w:sz w:val="18"/>
          <w:szCs w:val="18"/>
          <w:lang w:val="en-IE"/>
        </w:rPr>
        <w:t xml:space="preserve">https://ec.europa.eu/maritimeaffairs/sites/maritimeaffairs/files/join-2016-49_en.pdf  </w:t>
      </w:r>
      <w:r w:rsidR="009F4E34">
        <w:rPr>
          <w:rStyle w:val="Hyperlink"/>
          <w:sz w:val="18"/>
          <w:szCs w:val="18"/>
          <w:lang w:val="en-IE"/>
        </w:rPr>
        <w:fldChar w:fldCharType="end"/>
      </w:r>
    </w:p>
  </w:footnote>
  <w:footnote w:id="28">
    <w:p w14:paraId="2FE12521" w14:textId="0032EF08" w:rsidR="001F330E" w:rsidRPr="007D09E0" w:rsidRDefault="001F330E" w:rsidP="00702AF8">
      <w:pPr>
        <w:pStyle w:val="FootnoteText"/>
        <w:rPr>
          <w:rFonts w:asciiTheme="majorHAnsi" w:hAnsiTheme="majorHAnsi" w:cstheme="majorHAnsi"/>
          <w:sz w:val="18"/>
          <w:szCs w:val="18"/>
          <w:lang w:val="en-IE"/>
        </w:rPr>
      </w:pPr>
      <w:r w:rsidRPr="007D09E0">
        <w:rPr>
          <w:rStyle w:val="FootnoteReference"/>
          <w:rFonts w:asciiTheme="majorHAnsi" w:hAnsiTheme="majorHAnsi" w:cstheme="majorHAnsi"/>
          <w:sz w:val="18"/>
          <w:szCs w:val="18"/>
        </w:rPr>
        <w:footnoteRef/>
      </w:r>
      <w:r w:rsidRPr="007D09E0">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"http://www.fao.org/iuu-fishing/tools-and-initiatives/iuu-fishing-estimation-and-studies/en/" </w:instrText>
      </w:r>
      <w:r w:rsidR="009F4E34">
        <w:fldChar w:fldCharType="separate"/>
      </w:r>
      <w:r w:rsidRPr="007D09E0">
        <w:rPr>
          <w:rStyle w:val="Hyperlink"/>
          <w:rFonts w:asciiTheme="majorHAnsi" w:hAnsiTheme="majorHAnsi" w:cstheme="majorHAnsi"/>
          <w:sz w:val="18"/>
          <w:szCs w:val="18"/>
          <w:lang w:val="en-IE"/>
        </w:rPr>
        <w:t>http://www.fao.org/iuu-fishing/tools-and-initiatives/iuu-fishing-estimation-and-studies/en/</w:t>
      </w:r>
      <w:r w:rsidR="009F4E34">
        <w:rPr>
          <w:rStyle w:val="Hyperlink"/>
          <w:rFonts w:asciiTheme="majorHAnsi" w:hAnsiTheme="majorHAnsi" w:cstheme="majorHAnsi"/>
          <w:sz w:val="18"/>
          <w:szCs w:val="18"/>
          <w:lang w:val="en-IE"/>
        </w:rPr>
        <w:fldChar w:fldCharType="end"/>
      </w:r>
      <w:r w:rsidRPr="007D09E0">
        <w:rPr>
          <w:rFonts w:asciiTheme="majorHAnsi" w:hAnsiTheme="majorHAnsi" w:cstheme="majorHAnsi"/>
          <w:sz w:val="18"/>
          <w:szCs w:val="18"/>
          <w:lang w:val="en-IE"/>
        </w:rPr>
        <w:t xml:space="preserve"> </w:t>
      </w:r>
    </w:p>
  </w:footnote>
  <w:footnote w:id="29">
    <w:p w14:paraId="2AA62A68" w14:textId="77777777" w:rsidR="001F330E" w:rsidRPr="007D09E0" w:rsidRDefault="001F330E" w:rsidP="00702AF8">
      <w:pPr>
        <w:spacing w:after="0"/>
        <w:rPr>
          <w:rFonts w:asciiTheme="majorHAnsi" w:hAnsiTheme="majorHAnsi" w:cstheme="majorHAnsi"/>
          <w:sz w:val="18"/>
          <w:szCs w:val="18"/>
          <w:lang w:val="en-IE"/>
        </w:rPr>
      </w:pPr>
      <w:r w:rsidRPr="007D09E0">
        <w:rPr>
          <w:rFonts w:asciiTheme="majorHAnsi" w:hAnsiTheme="majorHAnsi" w:cstheme="majorHAnsi"/>
          <w:sz w:val="18"/>
          <w:szCs w:val="18"/>
          <w:vertAlign w:val="superscript"/>
        </w:rPr>
        <w:footnoteRef/>
      </w:r>
      <w:r w:rsidRPr="007D09E0">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"http://www.fao.org/iuu-fishing/en/" \h </w:instrText>
      </w:r>
      <w:r w:rsidR="009F4E34">
        <w:fldChar w:fldCharType="separate"/>
      </w:r>
      <w:r w:rsidRPr="007D09E0">
        <w:rPr>
          <w:rStyle w:val="Hyperlink"/>
          <w:sz w:val="18"/>
          <w:szCs w:val="18"/>
          <w:lang w:val="en-IE"/>
        </w:rPr>
        <w:t>http://www.fao.org/iuu-fishing/en/</w:t>
      </w:r>
      <w:r w:rsidR="009F4E34">
        <w:rPr>
          <w:rStyle w:val="Hyperlink"/>
          <w:sz w:val="18"/>
          <w:szCs w:val="18"/>
          <w:lang w:val="en-IE"/>
        </w:rPr>
        <w:fldChar w:fldCharType="end"/>
      </w:r>
      <w:r w:rsidRPr="007D09E0">
        <w:rPr>
          <w:rFonts w:asciiTheme="majorHAnsi" w:hAnsiTheme="majorHAnsi" w:cstheme="majorHAnsi"/>
          <w:sz w:val="18"/>
          <w:szCs w:val="18"/>
          <w:lang w:val="en-IE"/>
        </w:rPr>
        <w:t xml:space="preserve"> </w:t>
      </w:r>
    </w:p>
  </w:footnote>
  <w:footnote w:id="30">
    <w:p w14:paraId="43B5ADE0" w14:textId="77777777" w:rsidR="001F330E" w:rsidRPr="00ED3367" w:rsidRDefault="001F330E" w:rsidP="00702AF8">
      <w:pPr>
        <w:spacing w:after="0"/>
        <w:rPr>
          <w:rFonts w:asciiTheme="majorHAnsi" w:hAnsiTheme="majorHAnsi" w:cstheme="majorHAnsi"/>
          <w:sz w:val="18"/>
          <w:szCs w:val="18"/>
          <w:lang w:val="en-IE"/>
        </w:rPr>
      </w:pPr>
      <w:r w:rsidRPr="007D09E0">
        <w:rPr>
          <w:rFonts w:asciiTheme="majorHAnsi" w:hAnsiTheme="majorHAnsi" w:cstheme="majorHAnsi"/>
          <w:sz w:val="18"/>
          <w:szCs w:val="18"/>
          <w:vertAlign w:val="superscript"/>
        </w:rPr>
        <w:footnoteRef/>
      </w:r>
      <w:r w:rsidRPr="007D09E0">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"https://sdgs.un.org/goals/goal14" \h </w:instrText>
      </w:r>
      <w:r w:rsidR="009F4E34">
        <w:fldChar w:fldCharType="separate"/>
      </w:r>
      <w:r w:rsidRPr="007D09E0">
        <w:rPr>
          <w:rStyle w:val="Hyperlink"/>
          <w:sz w:val="18"/>
          <w:szCs w:val="18"/>
          <w:lang w:val="en-IE"/>
        </w:rPr>
        <w:t>https://sdgs.un.org/goals/goal14</w:t>
      </w:r>
      <w:r w:rsidR="009F4E34">
        <w:rPr>
          <w:rStyle w:val="Hyperlink"/>
          <w:sz w:val="18"/>
          <w:szCs w:val="18"/>
          <w:lang w:val="en-IE"/>
        </w:rPr>
        <w:fldChar w:fldCharType="end"/>
      </w:r>
      <w:r w:rsidRPr="00ED3367">
        <w:rPr>
          <w:rFonts w:asciiTheme="majorHAnsi" w:hAnsiTheme="majorHAnsi" w:cstheme="majorHAnsi"/>
          <w:sz w:val="18"/>
          <w:szCs w:val="18"/>
          <w:lang w:val="en-IE"/>
        </w:rPr>
        <w:t xml:space="preserve"> </w:t>
      </w:r>
    </w:p>
  </w:footnote>
  <w:footnote w:id="31">
    <w:p w14:paraId="2BDC38E7" w14:textId="16950D9A" w:rsidR="001F330E" w:rsidRPr="00ED3367" w:rsidRDefault="001F330E" w:rsidP="00137504">
      <w:pPr>
        <w:spacing w:after="0"/>
        <w:rPr>
          <w:rFonts w:asciiTheme="majorHAnsi" w:hAnsiTheme="majorHAnsi" w:cstheme="majorHAnsi"/>
          <w:sz w:val="18"/>
          <w:szCs w:val="18"/>
          <w:lang w:val="en-IE"/>
        </w:rPr>
      </w:pPr>
      <w:r w:rsidRPr="00ED3367">
        <w:rPr>
          <w:rFonts w:asciiTheme="majorHAnsi" w:hAnsiTheme="majorHAnsi" w:cstheme="majorHAnsi"/>
          <w:sz w:val="18"/>
          <w:szCs w:val="18"/>
          <w:vertAlign w:val="superscript"/>
        </w:rPr>
        <w:footnoteRef/>
      </w:r>
      <w:r w:rsidR="009F4E34">
        <w:fldChar w:fldCharType="begin"/>
      </w:r>
      <w:r w:rsidR="009F4E34" w:rsidRPr="004B3125">
        <w:rPr>
          <w:lang w:val="en-IE"/>
        </w:rPr>
        <w:instrText xml:space="preserve"> HYPERLINK "https://www.ldac.eu/images/documents/publications/LDAC_Opinion_on_Improving_Application_of_IUU_Regulation.pdf" </w:instrText>
      </w:r>
      <w:r w:rsidR="009F4E34">
        <w:fldChar w:fldCharType="separate"/>
      </w:r>
      <w:r w:rsidRPr="00ED3367">
        <w:rPr>
          <w:rStyle w:val="Hyperlink"/>
          <w:rFonts w:asciiTheme="majorHAnsi" w:hAnsiTheme="majorHAnsi" w:cstheme="majorHAnsi"/>
          <w:sz w:val="18"/>
          <w:szCs w:val="18"/>
          <w:lang w:val="en-IE"/>
        </w:rPr>
        <w:t>https://www.ldac.eu/images/documents/publications/LDAC_Opinion_on_Improving_Application_of_IUU_Regulation.pdf</w:t>
      </w:r>
      <w:r w:rsidR="009F4E34">
        <w:rPr>
          <w:rStyle w:val="Hyperlink"/>
          <w:rFonts w:asciiTheme="majorHAnsi" w:hAnsiTheme="majorHAnsi" w:cstheme="majorHAnsi"/>
          <w:sz w:val="18"/>
          <w:szCs w:val="18"/>
          <w:lang w:val="en-IE"/>
        </w:rPr>
        <w:fldChar w:fldCharType="end"/>
      </w:r>
      <w:r w:rsidRPr="00ED3367">
        <w:rPr>
          <w:rFonts w:asciiTheme="majorHAnsi" w:hAnsiTheme="majorHAnsi" w:cstheme="majorHAnsi"/>
          <w:sz w:val="18"/>
          <w:szCs w:val="18"/>
          <w:lang w:val="en-IE"/>
        </w:rPr>
        <w:t xml:space="preserve"> </w:t>
      </w:r>
    </w:p>
  </w:footnote>
  <w:footnote w:id="32">
    <w:p w14:paraId="3A7FB72E" w14:textId="1D965D90" w:rsidR="001F330E" w:rsidRPr="00ED3367" w:rsidRDefault="001F330E" w:rsidP="00137504">
      <w:pPr>
        <w:spacing w:after="0"/>
        <w:rPr>
          <w:rFonts w:asciiTheme="majorHAnsi" w:hAnsiTheme="majorHAnsi" w:cstheme="majorHAnsi"/>
          <w:sz w:val="18"/>
          <w:szCs w:val="18"/>
          <w:lang w:val="en-IE"/>
        </w:rPr>
      </w:pPr>
      <w:r w:rsidRPr="00ED3367">
        <w:rPr>
          <w:rFonts w:asciiTheme="majorHAnsi" w:hAnsiTheme="majorHAnsi" w:cstheme="majorHAnsi"/>
          <w:sz w:val="18"/>
          <w:szCs w:val="18"/>
          <w:vertAlign w:val="superscript"/>
        </w:rPr>
        <w:footnoteRef/>
      </w:r>
      <w:r w:rsidR="009F4E34">
        <w:fldChar w:fldCharType="begin"/>
      </w:r>
      <w:r w:rsidR="009F4E34" w:rsidRPr="004B3125">
        <w:rPr>
          <w:lang w:val="en-IE"/>
        </w:rPr>
        <w:instrText xml:space="preserve"> HYPERLINK "https://www.ldac.eu/images/documents/publications/LDAC-MAC-MEDAC_Joint_Opinion_on_Application_of_IUU_Regulation_9June2017.pdf" </w:instrText>
      </w:r>
      <w:r w:rsidR="009F4E34">
        <w:fldChar w:fldCharType="separate"/>
      </w:r>
      <w:r w:rsidRPr="00ED3367">
        <w:rPr>
          <w:rStyle w:val="Hyperlink"/>
          <w:rFonts w:asciiTheme="majorHAnsi" w:hAnsiTheme="majorHAnsi" w:cstheme="majorHAnsi"/>
          <w:sz w:val="18"/>
          <w:szCs w:val="18"/>
          <w:lang w:val="en-IE"/>
        </w:rPr>
        <w:t>https://www.ldac.eu/images/documents/publications/LDAC-MAC-MEDAC_Joint_Opinion_on_Application_of_IUU_Regulation_9June2017.pdf</w:t>
      </w:r>
      <w:r w:rsidR="009F4E34">
        <w:rPr>
          <w:rStyle w:val="Hyperlink"/>
          <w:rFonts w:asciiTheme="majorHAnsi" w:hAnsiTheme="majorHAnsi" w:cstheme="majorHAnsi"/>
          <w:sz w:val="18"/>
          <w:szCs w:val="18"/>
          <w:lang w:val="en-IE"/>
        </w:rPr>
        <w:fldChar w:fldCharType="end"/>
      </w:r>
      <w:r w:rsidRPr="00ED3367">
        <w:rPr>
          <w:rFonts w:asciiTheme="majorHAnsi" w:hAnsiTheme="majorHAnsi" w:cstheme="majorHAnsi"/>
          <w:sz w:val="18"/>
          <w:szCs w:val="18"/>
          <w:lang w:val="en-IE"/>
        </w:rPr>
        <w:t xml:space="preserve"> </w:t>
      </w:r>
    </w:p>
  </w:footnote>
  <w:footnote w:id="33">
    <w:p w14:paraId="50A34191" w14:textId="77777777" w:rsidR="001F330E" w:rsidRPr="00ED3367" w:rsidRDefault="001F330E" w:rsidP="00B24A51">
      <w:pPr>
        <w:spacing w:after="0"/>
        <w:jc w:val="left"/>
        <w:rPr>
          <w:rFonts w:asciiTheme="majorHAnsi" w:hAnsiTheme="majorHAnsi" w:cstheme="majorHAnsi"/>
          <w:sz w:val="18"/>
          <w:szCs w:val="18"/>
          <w:lang w:val="en-IE"/>
        </w:rPr>
      </w:pPr>
      <w:r w:rsidRPr="00ED3367">
        <w:rPr>
          <w:rFonts w:asciiTheme="majorHAnsi" w:hAnsiTheme="majorHAnsi" w:cstheme="majorHAnsi"/>
          <w:sz w:val="18"/>
          <w:szCs w:val="18"/>
          <w:vertAlign w:val="superscript"/>
        </w:rPr>
        <w:footnoteRef/>
      </w:r>
      <w:r w:rsidRPr="00ED3367">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"https://eur-lex.europa.eu/legal-content/EN/TXT/?uri=CELEX:52020DC0772&amp;qid=1607676610721" \h </w:instrText>
      </w:r>
      <w:r w:rsidR="009F4E34">
        <w:fldChar w:fldCharType="separate"/>
      </w:r>
      <w:r w:rsidRPr="00266869">
        <w:rPr>
          <w:rStyle w:val="Hyperlink"/>
          <w:sz w:val="18"/>
          <w:szCs w:val="18"/>
          <w:lang w:val="en-IE"/>
        </w:rPr>
        <w:t>https://eur-lex.europa.eu/legal-content/EN/TXT/?uri=CELEX:52020DC0772&amp;qid=1607676610721</w:t>
      </w:r>
      <w:r w:rsidR="009F4E34">
        <w:rPr>
          <w:rStyle w:val="Hyperlink"/>
          <w:sz w:val="18"/>
          <w:szCs w:val="18"/>
          <w:lang w:val="en-IE"/>
        </w:rPr>
        <w:fldChar w:fldCharType="end"/>
      </w:r>
      <w:r w:rsidRPr="00ED3367">
        <w:rPr>
          <w:rFonts w:asciiTheme="majorHAnsi" w:hAnsiTheme="majorHAnsi" w:cstheme="majorHAnsi"/>
          <w:sz w:val="18"/>
          <w:szCs w:val="18"/>
          <w:lang w:val="en-IE"/>
        </w:rPr>
        <w:t xml:space="preserve"> </w:t>
      </w:r>
    </w:p>
  </w:footnote>
  <w:footnote w:id="34">
    <w:p w14:paraId="51838B81" w14:textId="1F5A7713" w:rsidR="001F330E" w:rsidRPr="00ED3367" w:rsidRDefault="001F330E" w:rsidP="00137504">
      <w:pPr>
        <w:pStyle w:val="FootnoteText"/>
        <w:rPr>
          <w:rFonts w:asciiTheme="majorHAnsi" w:hAnsiTheme="majorHAnsi" w:cstheme="majorHAnsi"/>
          <w:sz w:val="18"/>
          <w:szCs w:val="18"/>
          <w:lang w:val="en-IE"/>
        </w:rPr>
      </w:pPr>
      <w:r w:rsidRPr="00ED3367">
        <w:rPr>
          <w:rStyle w:val="FootnoteReference"/>
          <w:rFonts w:asciiTheme="majorHAnsi" w:hAnsiTheme="majorHAnsi" w:cstheme="majorHAnsi"/>
          <w:sz w:val="18"/>
          <w:szCs w:val="18"/>
        </w:rPr>
        <w:footnoteRef/>
      </w:r>
      <w:r w:rsidRPr="00ED3367">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"http://www.fao.org/3/ne710en/ne</w:instrText>
      </w:r>
      <w:r w:rsidR="009F4E34" w:rsidRPr="004B3125">
        <w:rPr>
          <w:lang w:val="en-IE"/>
        </w:rPr>
        <w:instrText xml:space="preserve">710en.pdf" </w:instrText>
      </w:r>
      <w:r w:rsidR="009F4E34">
        <w:fldChar w:fldCharType="separate"/>
      </w:r>
      <w:r w:rsidRPr="00ED3367">
        <w:rPr>
          <w:rStyle w:val="Hyperlink"/>
          <w:rFonts w:asciiTheme="majorHAnsi" w:hAnsiTheme="majorHAnsi" w:cstheme="majorHAnsi"/>
          <w:sz w:val="18"/>
          <w:szCs w:val="18"/>
          <w:lang w:val="en-IE"/>
        </w:rPr>
        <w:t>http://www.fao.org/3/ne710en/ne710en.pdf</w:t>
      </w:r>
      <w:r w:rsidR="009F4E34">
        <w:rPr>
          <w:rStyle w:val="Hyperlink"/>
          <w:rFonts w:asciiTheme="majorHAnsi" w:hAnsiTheme="majorHAnsi" w:cstheme="majorHAnsi"/>
          <w:sz w:val="18"/>
          <w:szCs w:val="18"/>
          <w:lang w:val="en-IE"/>
        </w:rPr>
        <w:fldChar w:fldCharType="end"/>
      </w:r>
      <w:r w:rsidRPr="00ED3367">
        <w:rPr>
          <w:rFonts w:asciiTheme="majorHAnsi" w:hAnsiTheme="majorHAnsi" w:cstheme="majorHAnsi"/>
          <w:sz w:val="18"/>
          <w:szCs w:val="18"/>
          <w:lang w:val="en-IE"/>
        </w:rPr>
        <w:t xml:space="preserve"> </w:t>
      </w:r>
    </w:p>
  </w:footnote>
  <w:footnote w:id="35">
    <w:p w14:paraId="74E049AF" w14:textId="61832BF7" w:rsidR="001F330E" w:rsidRPr="00ED3367" w:rsidRDefault="001F330E" w:rsidP="00137504">
      <w:pPr>
        <w:pStyle w:val="FootnoteText"/>
        <w:rPr>
          <w:rFonts w:asciiTheme="majorHAnsi" w:hAnsiTheme="majorHAnsi" w:cstheme="majorHAnsi"/>
          <w:sz w:val="18"/>
          <w:szCs w:val="18"/>
          <w:lang w:val="en-IE"/>
        </w:rPr>
      </w:pPr>
      <w:r w:rsidRPr="00ED3367">
        <w:rPr>
          <w:rStyle w:val="FootnoteReference"/>
          <w:rFonts w:asciiTheme="majorHAnsi" w:hAnsiTheme="majorHAnsi" w:cstheme="majorHAnsi"/>
          <w:sz w:val="18"/>
          <w:szCs w:val="18"/>
        </w:rPr>
        <w:footnoteRef/>
      </w:r>
      <w:r w:rsidRPr="00ED3367">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"http://www.fao.org/fileadmin/user_upload/COFI/COFI34/nonwcp/AgendaItem9-EU.pdf" </w:instrText>
      </w:r>
      <w:r w:rsidR="009F4E34">
        <w:fldChar w:fldCharType="separate"/>
      </w:r>
      <w:r w:rsidRPr="00ED3367">
        <w:rPr>
          <w:rStyle w:val="Hyperlink"/>
          <w:rFonts w:asciiTheme="majorHAnsi" w:hAnsiTheme="majorHAnsi" w:cstheme="majorHAnsi"/>
          <w:sz w:val="18"/>
          <w:szCs w:val="18"/>
          <w:lang w:val="en-IE"/>
        </w:rPr>
        <w:t>http://www.fao.org/fileadmin/user_upload/COFI/COFI34/nonwcp/AgendaItem9-EU.pdf</w:t>
      </w:r>
      <w:r w:rsidR="009F4E34">
        <w:rPr>
          <w:rStyle w:val="Hyperlink"/>
          <w:rFonts w:asciiTheme="majorHAnsi" w:hAnsiTheme="majorHAnsi" w:cstheme="majorHAnsi"/>
          <w:sz w:val="18"/>
          <w:szCs w:val="18"/>
          <w:lang w:val="en-IE"/>
        </w:rPr>
        <w:fldChar w:fldCharType="end"/>
      </w:r>
      <w:r w:rsidRPr="00ED3367">
        <w:rPr>
          <w:rFonts w:asciiTheme="majorHAnsi" w:hAnsiTheme="majorHAnsi" w:cstheme="majorHAnsi"/>
          <w:sz w:val="18"/>
          <w:szCs w:val="18"/>
          <w:lang w:val="en-IE"/>
        </w:rPr>
        <w:t xml:space="preserve"> </w:t>
      </w:r>
    </w:p>
  </w:footnote>
  <w:footnote w:id="36">
    <w:p w14:paraId="701B17E1" w14:textId="77777777" w:rsidR="001F330E" w:rsidRPr="00ED3367" w:rsidRDefault="001F330E" w:rsidP="00137504">
      <w:pPr>
        <w:spacing w:after="0"/>
        <w:rPr>
          <w:rFonts w:asciiTheme="majorHAnsi" w:hAnsiTheme="majorHAnsi" w:cstheme="majorHAnsi"/>
          <w:sz w:val="18"/>
          <w:szCs w:val="18"/>
          <w:lang w:val="en-IE"/>
        </w:rPr>
      </w:pPr>
      <w:r w:rsidRPr="00ED3367">
        <w:rPr>
          <w:rFonts w:asciiTheme="majorHAnsi" w:hAnsiTheme="majorHAnsi" w:cstheme="majorHAnsi"/>
          <w:sz w:val="18"/>
          <w:szCs w:val="18"/>
          <w:vertAlign w:val="superscript"/>
        </w:rPr>
        <w:footnoteRef/>
      </w:r>
      <w:r w:rsidRPr="00ED3367">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"http://ww</w:instrText>
      </w:r>
      <w:r w:rsidR="009F4E34" w:rsidRPr="004B3125">
        <w:rPr>
          <w:lang w:val="en-IE"/>
        </w:rPr>
        <w:instrText xml:space="preserve">w.iuuwatch.eu/wp-content/uploads/2020/01/CDS-Study-WEB.pdf" \h </w:instrText>
      </w:r>
      <w:r w:rsidR="009F4E34">
        <w:fldChar w:fldCharType="separate"/>
      </w:r>
      <w:r w:rsidRPr="001F7172">
        <w:rPr>
          <w:rStyle w:val="Hyperlink"/>
          <w:sz w:val="18"/>
          <w:szCs w:val="18"/>
          <w:lang w:val="en-IE"/>
        </w:rPr>
        <w:t>http://www.iuuwatch.eu/wp-content/uploads/2020/01/CDS-Study-WEB.pdf</w:t>
      </w:r>
      <w:r w:rsidR="009F4E34">
        <w:rPr>
          <w:rStyle w:val="Hyperlink"/>
          <w:sz w:val="18"/>
          <w:szCs w:val="18"/>
          <w:lang w:val="en-IE"/>
        </w:rPr>
        <w:fldChar w:fldCharType="end"/>
      </w:r>
      <w:r w:rsidRPr="00ED3367">
        <w:rPr>
          <w:rFonts w:asciiTheme="majorHAnsi" w:hAnsiTheme="majorHAnsi" w:cstheme="majorHAnsi"/>
          <w:sz w:val="18"/>
          <w:szCs w:val="18"/>
          <w:lang w:val="en-IE"/>
        </w:rPr>
        <w:t xml:space="preserve"> </w:t>
      </w:r>
    </w:p>
  </w:footnote>
  <w:footnote w:id="37">
    <w:p w14:paraId="5A70090C" w14:textId="77777777" w:rsidR="001F330E" w:rsidRPr="00ED3367" w:rsidRDefault="001F330E" w:rsidP="0045784E">
      <w:pPr>
        <w:spacing w:after="0"/>
        <w:rPr>
          <w:rFonts w:asciiTheme="majorHAnsi" w:hAnsiTheme="majorHAnsi" w:cstheme="majorHAnsi"/>
          <w:sz w:val="18"/>
          <w:szCs w:val="18"/>
          <w:vertAlign w:val="superscript"/>
          <w:lang w:val="en-IE"/>
        </w:rPr>
      </w:pPr>
      <w:r w:rsidRPr="00ED3367">
        <w:rPr>
          <w:rFonts w:asciiTheme="majorHAnsi" w:hAnsiTheme="majorHAnsi" w:cstheme="majorHAnsi"/>
          <w:sz w:val="18"/>
          <w:szCs w:val="18"/>
          <w:vertAlign w:val="superscript"/>
        </w:rPr>
        <w:footnoteRef/>
      </w:r>
      <w:r w:rsidRPr="00ED3367">
        <w:rPr>
          <w:rFonts w:asciiTheme="majorHAnsi" w:hAnsiTheme="majorHAnsi" w:cstheme="majorHAnsi"/>
          <w:sz w:val="18"/>
          <w:szCs w:val="18"/>
          <w:vertAlign w:val="superscript"/>
          <w:lang w:val="en-IE"/>
        </w:rPr>
        <w:t xml:space="preserve"> </w:t>
      </w:r>
      <w:r w:rsidRPr="007D09E0">
        <w:rPr>
          <w:rStyle w:val="Hyperlink"/>
          <w:rFonts w:asciiTheme="majorHAnsi" w:hAnsiTheme="majorHAnsi" w:cstheme="majorHAnsi"/>
          <w:sz w:val="18"/>
          <w:szCs w:val="18"/>
          <w:lang w:val="en-IE"/>
        </w:rPr>
        <w:t>http://www.fao.org/global-record/en/</w:t>
      </w:r>
    </w:p>
  </w:footnote>
  <w:footnote w:id="38">
    <w:p w14:paraId="17180A5F" w14:textId="7973497A" w:rsidR="001F330E" w:rsidRPr="00ED3367" w:rsidRDefault="001F330E" w:rsidP="0045784E">
      <w:pPr>
        <w:spacing w:after="0"/>
        <w:rPr>
          <w:rFonts w:asciiTheme="majorHAnsi" w:hAnsiTheme="majorHAnsi" w:cstheme="majorHAnsi"/>
          <w:sz w:val="18"/>
          <w:szCs w:val="18"/>
          <w:lang w:val="en-IE"/>
        </w:rPr>
      </w:pPr>
      <w:r w:rsidRPr="00ED3367">
        <w:rPr>
          <w:rFonts w:asciiTheme="majorHAnsi" w:hAnsiTheme="majorHAnsi" w:cstheme="majorHAnsi"/>
          <w:sz w:val="18"/>
          <w:szCs w:val="18"/>
          <w:vertAlign w:val="superscript"/>
        </w:rPr>
        <w:footnoteRef/>
      </w:r>
      <w:r w:rsidR="009F4E34">
        <w:fldChar w:fldCharType="begin"/>
      </w:r>
      <w:r w:rsidR="009F4E34" w:rsidRPr="004B3125">
        <w:rPr>
          <w:lang w:val="en-IE"/>
        </w:rPr>
        <w:instrText xml:space="preserve"> HYPERLINK "https://ec.europa.eu/info/law/better-regulation/have-your-say/initiatives/12640-Compliance-with-Flag-State-requirements-shipping-" </w:instrText>
      </w:r>
      <w:r w:rsidR="009F4E34">
        <w:fldChar w:fldCharType="separate"/>
      </w:r>
      <w:r w:rsidRPr="00ED3367">
        <w:rPr>
          <w:rStyle w:val="Hyperlink"/>
          <w:rFonts w:asciiTheme="majorHAnsi" w:hAnsiTheme="majorHAnsi" w:cstheme="majorHAnsi"/>
          <w:sz w:val="18"/>
          <w:szCs w:val="18"/>
          <w:lang w:val="en-IE"/>
        </w:rPr>
        <w:t>https://ec.europa.eu/info/law/better-regulation/have-your-say/initiatives/12640-Compliance-with-Flag-State-requirements-shipping-</w:t>
      </w:r>
      <w:r w:rsidR="009F4E34">
        <w:rPr>
          <w:rStyle w:val="Hyperlink"/>
          <w:rFonts w:asciiTheme="majorHAnsi" w:hAnsiTheme="majorHAnsi" w:cstheme="majorHAnsi"/>
          <w:sz w:val="18"/>
          <w:szCs w:val="18"/>
          <w:lang w:val="en-IE"/>
        </w:rPr>
        <w:fldChar w:fldCharType="end"/>
      </w:r>
      <w:r w:rsidRPr="00ED3367">
        <w:rPr>
          <w:rFonts w:asciiTheme="majorHAnsi" w:hAnsiTheme="majorHAnsi" w:cstheme="majorHAnsi"/>
          <w:sz w:val="18"/>
          <w:szCs w:val="18"/>
          <w:lang w:val="en-IE"/>
        </w:rPr>
        <w:t xml:space="preserve"> </w:t>
      </w:r>
    </w:p>
  </w:footnote>
  <w:footnote w:id="39">
    <w:p w14:paraId="10529F67" w14:textId="4B31FF0B" w:rsidR="001F330E" w:rsidRPr="00ED3367" w:rsidRDefault="001F330E" w:rsidP="0045784E">
      <w:pPr>
        <w:spacing w:after="0"/>
        <w:rPr>
          <w:rFonts w:asciiTheme="majorHAnsi" w:hAnsiTheme="majorHAnsi" w:cstheme="majorHAnsi"/>
          <w:sz w:val="18"/>
          <w:szCs w:val="18"/>
          <w:lang w:val="en-IE"/>
        </w:rPr>
      </w:pPr>
      <w:r w:rsidRPr="00ED3367">
        <w:rPr>
          <w:rFonts w:asciiTheme="majorHAnsi" w:hAnsiTheme="majorHAnsi" w:cstheme="majorHAnsi"/>
          <w:sz w:val="18"/>
          <w:szCs w:val="18"/>
          <w:vertAlign w:val="superscript"/>
        </w:rPr>
        <w:footnoteRef/>
      </w:r>
      <w:r w:rsidR="009F4E34">
        <w:fldChar w:fldCharType="begin"/>
      </w:r>
      <w:r w:rsidR="009F4E34" w:rsidRPr="004B3125">
        <w:rPr>
          <w:lang w:val="en-IE"/>
        </w:rPr>
        <w:instrText xml:space="preserve"> HYPERLINK "https://ec.europa.eu/info/law/better-regulation/have-your-say/initiatives/12641-Port-State-control-Further-improving-safety-security-and-sustainability-of-maritime-transport" </w:instrText>
      </w:r>
      <w:r w:rsidR="009F4E34">
        <w:fldChar w:fldCharType="separate"/>
      </w:r>
      <w:r w:rsidRPr="00ED3367">
        <w:rPr>
          <w:rStyle w:val="Hyperlink"/>
          <w:rFonts w:asciiTheme="majorHAnsi" w:hAnsiTheme="majorHAnsi" w:cstheme="majorHAnsi"/>
          <w:sz w:val="18"/>
          <w:szCs w:val="18"/>
          <w:lang w:val="en-IE"/>
        </w:rPr>
        <w:t>https://ec.europa.eu/info/law/better-regulation/have-your-say/initiatives/12641-Port-State-control-Further-improving-safety-security-and-sustainability-of-maritime-transport</w:t>
      </w:r>
      <w:r w:rsidR="009F4E34">
        <w:rPr>
          <w:rStyle w:val="Hyperlink"/>
          <w:rFonts w:asciiTheme="majorHAnsi" w:hAnsiTheme="majorHAnsi" w:cstheme="majorHAnsi"/>
          <w:sz w:val="18"/>
          <w:szCs w:val="18"/>
          <w:lang w:val="en-IE"/>
        </w:rPr>
        <w:fldChar w:fldCharType="end"/>
      </w:r>
      <w:r w:rsidRPr="00ED3367">
        <w:rPr>
          <w:rFonts w:asciiTheme="majorHAnsi" w:hAnsiTheme="majorHAnsi" w:cstheme="majorHAnsi"/>
          <w:sz w:val="18"/>
          <w:szCs w:val="18"/>
          <w:lang w:val="en-IE"/>
        </w:rPr>
        <w:t xml:space="preserve"> </w:t>
      </w:r>
    </w:p>
  </w:footnote>
  <w:footnote w:id="40">
    <w:p w14:paraId="4CB9F16F" w14:textId="77777777" w:rsidR="001F330E" w:rsidRPr="00ED3367" w:rsidRDefault="001F330E" w:rsidP="0045784E">
      <w:pPr>
        <w:spacing w:after="0"/>
        <w:rPr>
          <w:rFonts w:asciiTheme="majorHAnsi" w:hAnsiTheme="majorHAnsi" w:cstheme="majorHAnsi"/>
          <w:sz w:val="18"/>
          <w:szCs w:val="18"/>
          <w:lang w:val="en-IE"/>
        </w:rPr>
      </w:pPr>
      <w:r w:rsidRPr="00ED3367">
        <w:rPr>
          <w:rFonts w:asciiTheme="majorHAnsi" w:hAnsiTheme="majorHAnsi" w:cstheme="majorHAnsi"/>
          <w:sz w:val="18"/>
          <w:szCs w:val="18"/>
          <w:vertAlign w:val="superscript"/>
        </w:rPr>
        <w:footnoteRef/>
      </w:r>
      <w:r w:rsidRPr="00ED3367">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"https://ec.europa.eu/fisheries/cfp/control_en" \h </w:instrText>
      </w:r>
      <w:r w:rsidR="009F4E34">
        <w:fldChar w:fldCharType="separate"/>
      </w:r>
      <w:r w:rsidRPr="007D09E0">
        <w:rPr>
          <w:rStyle w:val="Hyperlink"/>
          <w:sz w:val="18"/>
          <w:szCs w:val="18"/>
          <w:lang w:val="en-IE"/>
        </w:rPr>
        <w:t>https://ec.europa.eu/fisheries/cfp/control_en</w:t>
      </w:r>
      <w:r w:rsidR="009F4E34">
        <w:rPr>
          <w:rStyle w:val="Hyperlink"/>
          <w:sz w:val="18"/>
          <w:szCs w:val="18"/>
          <w:lang w:val="en-IE"/>
        </w:rPr>
        <w:fldChar w:fldCharType="end"/>
      </w:r>
    </w:p>
  </w:footnote>
  <w:footnote w:id="41">
    <w:p w14:paraId="146FFFF3" w14:textId="77777777" w:rsidR="001F330E" w:rsidRPr="00ED3367" w:rsidRDefault="001F330E" w:rsidP="0045784E">
      <w:pPr>
        <w:spacing w:after="0"/>
        <w:rPr>
          <w:rFonts w:asciiTheme="majorHAnsi" w:hAnsiTheme="majorHAnsi" w:cstheme="majorHAnsi"/>
          <w:sz w:val="18"/>
          <w:szCs w:val="18"/>
          <w:lang w:val="en-IE"/>
        </w:rPr>
      </w:pPr>
      <w:r w:rsidRPr="00ED3367">
        <w:rPr>
          <w:rFonts w:asciiTheme="majorHAnsi" w:hAnsiTheme="majorHAnsi" w:cstheme="majorHAnsi"/>
          <w:sz w:val="18"/>
          <w:szCs w:val="18"/>
          <w:vertAlign w:val="superscript"/>
        </w:rPr>
        <w:footnoteRef/>
      </w:r>
      <w:r w:rsidRPr="00ED3367">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w:instrText>
      </w:r>
      <w:r w:rsidR="009F4E34" w:rsidRPr="004B3125">
        <w:rPr>
          <w:lang w:val="en-IE"/>
        </w:rPr>
        <w:instrText xml:space="preserve"> "https://www.euractiv.com/section/global-europe/news/new-human-rights-laws-in-2021-promises-eu-justice-chief/" \h </w:instrText>
      </w:r>
      <w:r w:rsidR="009F4E34">
        <w:fldChar w:fldCharType="separate"/>
      </w:r>
      <w:r w:rsidRPr="007D09E0">
        <w:rPr>
          <w:rStyle w:val="Hyperlink"/>
          <w:sz w:val="18"/>
          <w:szCs w:val="18"/>
          <w:lang w:val="en-IE"/>
        </w:rPr>
        <w:t xml:space="preserve">https://www.euractiv.com/section/global-europe/news/new-human-rights-laws-in-2021-promises-eu-justice-chief/ </w:t>
      </w:r>
      <w:r w:rsidR="009F4E34">
        <w:rPr>
          <w:rStyle w:val="Hyperlink"/>
          <w:sz w:val="18"/>
          <w:szCs w:val="18"/>
          <w:lang w:val="en-IE"/>
        </w:rPr>
        <w:fldChar w:fldCharType="end"/>
      </w:r>
    </w:p>
  </w:footnote>
  <w:footnote w:id="42">
    <w:p w14:paraId="27BAD1D7" w14:textId="77777777" w:rsidR="001F330E" w:rsidRPr="00A23A47" w:rsidRDefault="001F330E" w:rsidP="0045784E">
      <w:pPr>
        <w:spacing w:after="0"/>
        <w:rPr>
          <w:rFonts w:asciiTheme="majorHAnsi" w:hAnsiTheme="majorHAnsi" w:cstheme="majorHAnsi"/>
          <w:sz w:val="18"/>
          <w:szCs w:val="18"/>
          <w:lang w:val="en-IE"/>
        </w:rPr>
      </w:pPr>
      <w:r w:rsidRPr="00ED3367">
        <w:rPr>
          <w:rFonts w:asciiTheme="majorHAnsi" w:hAnsiTheme="majorHAnsi" w:cstheme="majorHAnsi"/>
          <w:sz w:val="18"/>
          <w:szCs w:val="18"/>
          <w:vertAlign w:val="superscript"/>
        </w:rPr>
        <w:footnoteRef/>
      </w:r>
      <w:r w:rsidRPr="00ED3367">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"http://www.iuuwatch.eu/wp-content/uploads/2017/03/IUU_Import-controls_report_ENG.pdf" \h </w:instrText>
      </w:r>
      <w:r w:rsidR="009F4E34">
        <w:fldChar w:fldCharType="separate"/>
      </w:r>
      <w:r w:rsidRPr="007D09E0">
        <w:rPr>
          <w:rStyle w:val="Hyperlink"/>
          <w:sz w:val="18"/>
          <w:szCs w:val="18"/>
          <w:lang w:val="en-IE"/>
        </w:rPr>
        <w:t>http://www.iuuwatch.eu/wp-content/uploads/2017/03/IUU_Import-controls_report_ENG.pdf</w:t>
      </w:r>
      <w:r w:rsidR="009F4E34">
        <w:rPr>
          <w:rStyle w:val="Hyperlink"/>
          <w:sz w:val="18"/>
          <w:szCs w:val="18"/>
          <w:lang w:val="en-IE"/>
        </w:rPr>
        <w:fldChar w:fldCharType="end"/>
      </w:r>
      <w:r w:rsidRPr="00C36595">
        <w:rPr>
          <w:rFonts w:asciiTheme="majorHAnsi" w:hAnsiTheme="majorHAnsi" w:cstheme="majorHAnsi"/>
          <w:sz w:val="18"/>
          <w:szCs w:val="18"/>
          <w:lang w:val="en-IE"/>
        </w:rPr>
        <w:t xml:space="preserve"> </w:t>
      </w:r>
    </w:p>
  </w:footnote>
  <w:footnote w:id="43">
    <w:p w14:paraId="4510E04D" w14:textId="77777777" w:rsidR="001F330E" w:rsidRPr="00A23A47" w:rsidRDefault="001F330E" w:rsidP="0045784E">
      <w:pPr>
        <w:spacing w:after="0"/>
        <w:rPr>
          <w:rFonts w:asciiTheme="majorHAnsi" w:hAnsiTheme="majorHAnsi" w:cstheme="majorHAnsi"/>
          <w:sz w:val="18"/>
          <w:szCs w:val="18"/>
          <w:lang w:val="en-IE"/>
        </w:rPr>
      </w:pPr>
      <w:r w:rsidRPr="00C36595">
        <w:rPr>
          <w:rFonts w:asciiTheme="majorHAnsi" w:hAnsiTheme="majorHAnsi" w:cstheme="majorHAnsi"/>
          <w:sz w:val="18"/>
          <w:szCs w:val="18"/>
          <w:vertAlign w:val="superscript"/>
        </w:rPr>
        <w:footnoteRef/>
      </w:r>
      <w:r w:rsidR="009F4E34">
        <w:fldChar w:fldCharType="begin"/>
      </w:r>
      <w:r w:rsidR="009F4E34" w:rsidRPr="004B3125">
        <w:rPr>
          <w:lang w:val="en-IE"/>
        </w:rPr>
        <w:instrText xml:space="preserve"> HYPERLINK "https://www.documents.clientearth.org/wp-content/uplo</w:instrText>
      </w:r>
      <w:r w:rsidR="009F4E34" w:rsidRPr="004B3125">
        <w:rPr>
          <w:lang w:val="en-IE"/>
        </w:rPr>
        <w:instrText xml:space="preserve">ads/library/2016-12-02-slipping-through-the-net-the-control-and-enforcement-of-fisheries-in-france-ireland-the-netherlands-poland-spain-and-the-uk-england-ce-en.pdf" \h </w:instrText>
      </w:r>
      <w:r w:rsidR="009F4E34">
        <w:fldChar w:fldCharType="separate"/>
      </w:r>
      <w:r w:rsidRPr="007D09E0">
        <w:rPr>
          <w:rStyle w:val="Hyperlink"/>
          <w:sz w:val="18"/>
          <w:szCs w:val="18"/>
          <w:lang w:val="en-IE"/>
        </w:rPr>
        <w:t>https://www.documents.clientearth.org/wp-content/uploads/library/2016-12-02-slipping-through-the-net-the-control-and-enforcement-of-fisheries-in-france-ireland-the-netherlands-poland-spain-and-the-uk-england-ce-en.pdf</w:t>
      </w:r>
      <w:r w:rsidR="009F4E34">
        <w:rPr>
          <w:rStyle w:val="Hyperlink"/>
          <w:sz w:val="18"/>
          <w:szCs w:val="18"/>
          <w:lang w:val="en-IE"/>
        </w:rPr>
        <w:fldChar w:fldCharType="end"/>
      </w:r>
      <w:r w:rsidRPr="00C36595">
        <w:rPr>
          <w:rFonts w:asciiTheme="majorHAnsi" w:hAnsiTheme="majorHAnsi" w:cstheme="majorHAnsi"/>
          <w:sz w:val="18"/>
          <w:szCs w:val="18"/>
          <w:lang w:val="en-IE"/>
        </w:rPr>
        <w:t xml:space="preserve"> </w:t>
      </w:r>
    </w:p>
  </w:footnote>
  <w:footnote w:id="44">
    <w:p w14:paraId="3379B07B" w14:textId="77777777" w:rsidR="001F330E" w:rsidRPr="00A23A47" w:rsidRDefault="001F330E" w:rsidP="0045784E">
      <w:pPr>
        <w:spacing w:after="0"/>
        <w:rPr>
          <w:rFonts w:asciiTheme="majorHAnsi" w:hAnsiTheme="majorHAnsi" w:cstheme="majorHAnsi"/>
          <w:sz w:val="18"/>
          <w:szCs w:val="18"/>
          <w:lang w:val="en-IE"/>
        </w:rPr>
      </w:pPr>
      <w:r w:rsidRPr="00C36595">
        <w:rPr>
          <w:rFonts w:asciiTheme="majorHAnsi" w:hAnsiTheme="majorHAnsi" w:cstheme="majorHAnsi"/>
          <w:sz w:val="18"/>
          <w:szCs w:val="18"/>
          <w:vertAlign w:val="superscript"/>
        </w:rPr>
        <w:footnoteRef/>
      </w:r>
      <w:r w:rsidRPr="00C36595">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"https://eur-lex.europa.eu/legal-content/en/TXT/?uri=CELEX:52017SC0134" \h </w:instrText>
      </w:r>
      <w:r w:rsidR="009F4E34">
        <w:fldChar w:fldCharType="separate"/>
      </w:r>
      <w:r w:rsidRPr="007D09E0">
        <w:rPr>
          <w:rStyle w:val="Hyperlink"/>
          <w:sz w:val="18"/>
          <w:szCs w:val="18"/>
          <w:lang w:val="en-IE"/>
        </w:rPr>
        <w:t>https://eur-lex.europa.eu/legal-content/en/TXT/?uri=CELEX:52017SC0134</w:t>
      </w:r>
      <w:r w:rsidR="009F4E34">
        <w:rPr>
          <w:rStyle w:val="Hyperlink"/>
          <w:sz w:val="18"/>
          <w:szCs w:val="18"/>
          <w:lang w:val="en-IE"/>
        </w:rPr>
        <w:fldChar w:fldCharType="end"/>
      </w:r>
      <w:r w:rsidRPr="00C36595">
        <w:rPr>
          <w:rFonts w:asciiTheme="majorHAnsi" w:hAnsiTheme="majorHAnsi" w:cstheme="majorHAnsi"/>
          <w:sz w:val="18"/>
          <w:szCs w:val="18"/>
          <w:lang w:val="en-IE"/>
        </w:rPr>
        <w:t xml:space="preserve"> </w:t>
      </w:r>
    </w:p>
  </w:footnote>
  <w:footnote w:id="45">
    <w:p w14:paraId="5E743599" w14:textId="77777777" w:rsidR="001F330E" w:rsidRPr="007D09E0" w:rsidRDefault="001F330E" w:rsidP="0045784E">
      <w:pPr>
        <w:spacing w:after="0"/>
        <w:rPr>
          <w:rStyle w:val="Hyperlink"/>
          <w:rFonts w:asciiTheme="majorHAnsi" w:hAnsiTheme="majorHAnsi" w:cstheme="majorHAnsi"/>
          <w:sz w:val="18"/>
          <w:szCs w:val="18"/>
          <w:lang w:val="en-IE"/>
        </w:rPr>
      </w:pPr>
      <w:r w:rsidRPr="00C36595">
        <w:rPr>
          <w:rFonts w:asciiTheme="majorHAnsi" w:hAnsiTheme="majorHAnsi" w:cstheme="majorHAnsi"/>
          <w:sz w:val="18"/>
          <w:szCs w:val="18"/>
          <w:vertAlign w:val="superscript"/>
        </w:rPr>
        <w:footnoteRef/>
      </w:r>
      <w:r w:rsidRPr="00C36595">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"https://www.europarl.europa.eu/RegData/etudes/STUD/2020/652205/IPOL_STU(2020)652205_EN.pdf" \h </w:instrText>
      </w:r>
      <w:r w:rsidR="009F4E34">
        <w:fldChar w:fldCharType="separate"/>
      </w:r>
      <w:r w:rsidRPr="007D09E0">
        <w:rPr>
          <w:rStyle w:val="Hyperlink"/>
          <w:sz w:val="18"/>
          <w:szCs w:val="18"/>
          <w:lang w:val="en-IE"/>
        </w:rPr>
        <w:t>https://www.europarl.europa.eu/RegData/etudes/STUD/2020/652205/IPOL_STU(2020)652205_EN.pdf</w:t>
      </w:r>
      <w:r w:rsidR="009F4E34">
        <w:rPr>
          <w:rStyle w:val="Hyperlink"/>
          <w:sz w:val="18"/>
          <w:szCs w:val="18"/>
          <w:lang w:val="en-IE"/>
        </w:rPr>
        <w:fldChar w:fldCharType="end"/>
      </w:r>
      <w:r w:rsidRPr="007D09E0">
        <w:rPr>
          <w:rStyle w:val="Hyperlink"/>
          <w:rFonts w:asciiTheme="majorHAnsi" w:hAnsiTheme="majorHAnsi" w:cstheme="majorHAnsi"/>
          <w:sz w:val="18"/>
          <w:szCs w:val="18"/>
          <w:lang w:val="en-IE"/>
        </w:rPr>
        <w:t xml:space="preserve"> </w:t>
      </w:r>
    </w:p>
  </w:footnote>
  <w:footnote w:id="46">
    <w:p w14:paraId="2B392366" w14:textId="77777777" w:rsidR="001F330E" w:rsidRPr="00ED3367" w:rsidRDefault="001F330E" w:rsidP="00CA7765">
      <w:pPr>
        <w:spacing w:after="0"/>
        <w:jc w:val="left"/>
        <w:rPr>
          <w:rFonts w:asciiTheme="majorHAnsi" w:hAnsiTheme="majorHAnsi" w:cstheme="majorHAnsi"/>
          <w:sz w:val="18"/>
          <w:szCs w:val="18"/>
          <w:lang w:val="en-IE"/>
        </w:rPr>
      </w:pPr>
      <w:r w:rsidRPr="00C36595">
        <w:rPr>
          <w:rFonts w:asciiTheme="majorHAnsi" w:hAnsiTheme="majorHAnsi" w:cstheme="majorHAnsi"/>
          <w:sz w:val="18"/>
          <w:szCs w:val="18"/>
          <w:vertAlign w:val="superscript"/>
        </w:rPr>
        <w:footnoteRef/>
      </w:r>
      <w:r w:rsidRPr="00C36595">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"https://eur-lex.europa.eu/legal-content/EN/TXT/?uri=CELEX:02008R1005-20110309" \h </w:instrText>
      </w:r>
      <w:r w:rsidR="009F4E34">
        <w:fldChar w:fldCharType="separate"/>
      </w:r>
      <w:r w:rsidRPr="007D09E0">
        <w:rPr>
          <w:rStyle w:val="Hyperlink"/>
          <w:sz w:val="18"/>
          <w:szCs w:val="18"/>
          <w:lang w:val="en-IE"/>
        </w:rPr>
        <w:t>https://eur-lex.europa.eu/legal-content/EN/TXT/?uri=CELEX:02008R1005-20110309</w:t>
      </w:r>
      <w:r w:rsidR="009F4E34">
        <w:rPr>
          <w:rStyle w:val="Hyperlink"/>
          <w:sz w:val="18"/>
          <w:szCs w:val="18"/>
          <w:lang w:val="en-IE"/>
        </w:rPr>
        <w:fldChar w:fldCharType="end"/>
      </w:r>
      <w:r w:rsidRPr="00ED3367">
        <w:rPr>
          <w:rFonts w:asciiTheme="majorHAnsi" w:hAnsiTheme="majorHAnsi" w:cstheme="majorHAnsi"/>
          <w:sz w:val="18"/>
          <w:szCs w:val="18"/>
          <w:lang w:val="en-IE"/>
        </w:rPr>
        <w:t xml:space="preserve"> </w:t>
      </w:r>
    </w:p>
  </w:footnote>
  <w:footnote w:id="47">
    <w:p w14:paraId="4A0FBA59" w14:textId="77777777" w:rsidR="001F330E" w:rsidRPr="00ED3367" w:rsidRDefault="001F330E" w:rsidP="00CA7765">
      <w:pPr>
        <w:spacing w:after="0"/>
        <w:jc w:val="left"/>
        <w:rPr>
          <w:rFonts w:asciiTheme="majorHAnsi" w:hAnsiTheme="majorHAnsi" w:cstheme="majorHAnsi"/>
          <w:sz w:val="18"/>
          <w:szCs w:val="18"/>
          <w:lang w:val="en-IE"/>
        </w:rPr>
      </w:pPr>
      <w:r w:rsidRPr="00ED3367">
        <w:rPr>
          <w:rFonts w:asciiTheme="majorHAnsi" w:hAnsiTheme="majorHAnsi" w:cstheme="majorHAnsi"/>
          <w:sz w:val="18"/>
          <w:szCs w:val="18"/>
          <w:vertAlign w:val="superscript"/>
        </w:rPr>
        <w:footnoteRef/>
      </w:r>
      <w:r w:rsidRPr="00ED3367">
        <w:rPr>
          <w:rFonts w:asciiTheme="majorHAnsi" w:hAnsiTheme="majorHAnsi" w:cstheme="majorHAnsi"/>
          <w:sz w:val="18"/>
          <w:szCs w:val="18"/>
          <w:lang w:val="en-IE"/>
        </w:rPr>
        <w:t xml:space="preserve"> The European Commission has made available the biennial reports through access to information requests, instead of making them available on request, they should be made available to stakeholders.</w:t>
      </w:r>
    </w:p>
  </w:footnote>
  <w:footnote w:id="48">
    <w:p w14:paraId="586CCE4F" w14:textId="0AAA576A" w:rsidR="001F330E" w:rsidRPr="00ED3367" w:rsidRDefault="001F330E" w:rsidP="00CA7765">
      <w:pPr>
        <w:spacing w:after="0"/>
        <w:jc w:val="left"/>
        <w:rPr>
          <w:rFonts w:asciiTheme="majorHAnsi" w:hAnsiTheme="majorHAnsi" w:cstheme="majorHAnsi"/>
          <w:sz w:val="18"/>
          <w:szCs w:val="18"/>
          <w:lang w:val="en-IE"/>
        </w:rPr>
      </w:pPr>
      <w:r w:rsidRPr="00ED3367">
        <w:rPr>
          <w:rFonts w:asciiTheme="majorHAnsi" w:hAnsiTheme="majorHAnsi" w:cstheme="majorHAnsi"/>
          <w:sz w:val="18"/>
          <w:szCs w:val="18"/>
          <w:vertAlign w:val="superscript"/>
        </w:rPr>
        <w:footnoteRef/>
      </w:r>
      <w:r w:rsidRPr="00ED3367">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"https://ec.europa.eu/fisheries/sites/fisheries/files/docs/body/catch-it-system_en.pdf" \h </w:instrText>
      </w:r>
      <w:r w:rsidR="009F4E34">
        <w:fldChar w:fldCharType="separate"/>
      </w:r>
      <w:r w:rsidRPr="001F7172">
        <w:rPr>
          <w:rStyle w:val="Hyperlink"/>
          <w:sz w:val="18"/>
          <w:szCs w:val="18"/>
          <w:lang w:val="en-IE"/>
        </w:rPr>
        <w:t>https://ec.europa.eu/fisheries/sites/fisheries/files/docs/body/catch-it-system_en.pdf</w:t>
      </w:r>
      <w:r w:rsidR="009F4E34">
        <w:rPr>
          <w:rStyle w:val="Hyperlink"/>
          <w:sz w:val="18"/>
          <w:szCs w:val="18"/>
          <w:lang w:val="en-IE"/>
        </w:rPr>
        <w:fldChar w:fldCharType="end"/>
      </w:r>
      <w:r w:rsidR="00E83381">
        <w:rPr>
          <w:rFonts w:asciiTheme="majorHAnsi" w:hAnsiTheme="majorHAnsi" w:cstheme="majorHAnsi"/>
          <w:sz w:val="18"/>
          <w:szCs w:val="18"/>
          <w:lang w:val="en-IE"/>
        </w:rPr>
        <w:t xml:space="preserve"> </w:t>
      </w:r>
    </w:p>
  </w:footnote>
  <w:footnote w:id="49">
    <w:p w14:paraId="61338EB4" w14:textId="77777777" w:rsidR="001F330E" w:rsidRPr="00C36595" w:rsidRDefault="001F330E" w:rsidP="00CA7765">
      <w:pPr>
        <w:spacing w:after="0"/>
        <w:jc w:val="left"/>
        <w:rPr>
          <w:rFonts w:asciiTheme="majorHAnsi" w:hAnsiTheme="majorHAnsi" w:cstheme="majorHAnsi"/>
          <w:sz w:val="18"/>
          <w:szCs w:val="18"/>
          <w:lang w:val="en-IE"/>
        </w:rPr>
      </w:pPr>
      <w:r w:rsidRPr="00ED3367">
        <w:rPr>
          <w:rFonts w:asciiTheme="majorHAnsi" w:hAnsiTheme="majorHAnsi" w:cstheme="majorHAnsi"/>
          <w:sz w:val="18"/>
          <w:szCs w:val="18"/>
          <w:vertAlign w:val="superscript"/>
        </w:rPr>
        <w:footnoteRef/>
      </w:r>
      <w:r w:rsidRPr="00ED3367">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"https://eur-lex.europa.eu/legal-content/EN/TXT/?uri=CELEX%3A52018PC0368" \h </w:instrText>
      </w:r>
      <w:r w:rsidR="009F4E34">
        <w:fldChar w:fldCharType="separate"/>
      </w:r>
      <w:r w:rsidRPr="007D09E0">
        <w:rPr>
          <w:rStyle w:val="Hyperlink"/>
          <w:sz w:val="18"/>
          <w:szCs w:val="18"/>
          <w:lang w:val="en-IE"/>
        </w:rPr>
        <w:t>https://eur-lex.europa.eu/legal-content/EN/TXT/?uri=CELEX%3A52018PC0368</w:t>
      </w:r>
      <w:r w:rsidR="009F4E34">
        <w:rPr>
          <w:rStyle w:val="Hyperlink"/>
          <w:sz w:val="18"/>
          <w:szCs w:val="18"/>
          <w:lang w:val="en-IE"/>
        </w:rPr>
        <w:fldChar w:fldCharType="end"/>
      </w:r>
      <w:r w:rsidRPr="00C36595">
        <w:rPr>
          <w:rFonts w:asciiTheme="majorHAnsi" w:hAnsiTheme="majorHAnsi" w:cstheme="majorHAnsi"/>
          <w:sz w:val="18"/>
          <w:szCs w:val="18"/>
          <w:lang w:val="en-IE"/>
        </w:rPr>
        <w:t xml:space="preserve"> </w:t>
      </w:r>
    </w:p>
  </w:footnote>
  <w:footnote w:id="50">
    <w:p w14:paraId="11F67FB6" w14:textId="77777777" w:rsidR="001F330E" w:rsidRPr="00C36595" w:rsidRDefault="001F330E" w:rsidP="00CA7765">
      <w:pPr>
        <w:spacing w:after="0"/>
        <w:jc w:val="left"/>
        <w:rPr>
          <w:rFonts w:asciiTheme="majorHAnsi" w:hAnsiTheme="majorHAnsi" w:cstheme="majorHAnsi"/>
          <w:sz w:val="18"/>
          <w:szCs w:val="18"/>
          <w:lang w:val="en-IE"/>
        </w:rPr>
      </w:pPr>
      <w:r w:rsidRPr="00C36595">
        <w:rPr>
          <w:rFonts w:asciiTheme="majorHAnsi" w:hAnsiTheme="majorHAnsi" w:cstheme="majorHAnsi"/>
          <w:sz w:val="18"/>
          <w:szCs w:val="18"/>
          <w:vertAlign w:val="superscript"/>
        </w:rPr>
        <w:footnoteRef/>
      </w:r>
      <w:r w:rsidRPr="00C36595">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"https://eur-lex.euro</w:instrText>
      </w:r>
      <w:r w:rsidR="009F4E34" w:rsidRPr="004B3125">
        <w:rPr>
          <w:lang w:val="en-IE"/>
        </w:rPr>
        <w:instrText xml:space="preserve">pa.eu/legal-content/EN/TXT/?uri=CELEX:02009R1010-20200327" \h </w:instrText>
      </w:r>
      <w:r w:rsidR="009F4E34">
        <w:fldChar w:fldCharType="separate"/>
      </w:r>
      <w:r w:rsidRPr="007D09E0">
        <w:rPr>
          <w:rStyle w:val="Hyperlink"/>
          <w:sz w:val="18"/>
          <w:szCs w:val="18"/>
          <w:lang w:val="en-IE"/>
        </w:rPr>
        <w:t>https://eur-lex.europa.eu/legal-content/EN/TXT/?uri=CELEX:02009R1010-20200327</w:t>
      </w:r>
      <w:r w:rsidR="009F4E34">
        <w:rPr>
          <w:rStyle w:val="Hyperlink"/>
          <w:sz w:val="18"/>
          <w:szCs w:val="18"/>
          <w:lang w:val="en-IE"/>
        </w:rPr>
        <w:fldChar w:fldCharType="end"/>
      </w:r>
      <w:r w:rsidRPr="00C36595">
        <w:rPr>
          <w:rFonts w:asciiTheme="majorHAnsi" w:hAnsiTheme="majorHAnsi" w:cstheme="majorHAnsi"/>
          <w:sz w:val="18"/>
          <w:szCs w:val="18"/>
          <w:lang w:val="en-IE"/>
        </w:rPr>
        <w:t xml:space="preserve"> </w:t>
      </w:r>
    </w:p>
  </w:footnote>
  <w:footnote w:id="51">
    <w:p w14:paraId="388E274F" w14:textId="77777777" w:rsidR="001F330E" w:rsidRPr="00ED3367" w:rsidRDefault="001F330E" w:rsidP="00CA7765">
      <w:pPr>
        <w:spacing w:after="0"/>
        <w:jc w:val="left"/>
        <w:rPr>
          <w:rFonts w:asciiTheme="majorHAnsi" w:hAnsiTheme="majorHAnsi" w:cstheme="majorHAnsi"/>
          <w:sz w:val="18"/>
          <w:szCs w:val="18"/>
          <w:vertAlign w:val="superscript"/>
          <w:lang w:val="en-IE"/>
        </w:rPr>
      </w:pPr>
      <w:r w:rsidRPr="00C36595">
        <w:rPr>
          <w:rFonts w:asciiTheme="majorHAnsi" w:hAnsiTheme="majorHAnsi" w:cstheme="majorHAnsi"/>
          <w:sz w:val="18"/>
          <w:szCs w:val="18"/>
          <w:vertAlign w:val="superscript"/>
        </w:rPr>
        <w:footnoteRef/>
      </w:r>
      <w:r w:rsidRPr="00C36595">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"https://eur-lex.europa.eu/legal-content/EN/TXT/?uri=CELEX%3A32017R2403" \h </w:instrText>
      </w:r>
      <w:r w:rsidR="009F4E34">
        <w:fldChar w:fldCharType="separate"/>
      </w:r>
      <w:r w:rsidRPr="007D09E0">
        <w:rPr>
          <w:rStyle w:val="Hyperlink"/>
          <w:sz w:val="18"/>
          <w:szCs w:val="18"/>
          <w:lang w:val="en-IE"/>
        </w:rPr>
        <w:t>https://eur-lex.europa.eu/legal-content/EN/TXT/?uri=CELEX%3A32017R2403</w:t>
      </w:r>
      <w:r w:rsidR="009F4E34">
        <w:rPr>
          <w:rStyle w:val="Hyperlink"/>
          <w:sz w:val="18"/>
          <w:szCs w:val="18"/>
          <w:lang w:val="en-IE"/>
        </w:rPr>
        <w:fldChar w:fldCharType="end"/>
      </w:r>
      <w:r w:rsidRPr="00ED3367">
        <w:rPr>
          <w:rFonts w:asciiTheme="majorHAnsi" w:hAnsiTheme="majorHAnsi" w:cstheme="majorHAnsi"/>
          <w:sz w:val="18"/>
          <w:szCs w:val="18"/>
          <w:lang w:val="en-IE"/>
        </w:rPr>
        <w:t xml:space="preserve"> </w:t>
      </w:r>
    </w:p>
  </w:footnote>
  <w:footnote w:id="52">
    <w:p w14:paraId="4086D266" w14:textId="77777777" w:rsidR="001F330E" w:rsidRPr="00ED3367" w:rsidRDefault="001F330E" w:rsidP="00CA7765">
      <w:pPr>
        <w:spacing w:after="0"/>
        <w:jc w:val="left"/>
        <w:rPr>
          <w:rFonts w:asciiTheme="majorHAnsi" w:hAnsiTheme="majorHAnsi" w:cstheme="majorHAnsi"/>
          <w:sz w:val="18"/>
          <w:szCs w:val="18"/>
          <w:vertAlign w:val="superscript"/>
          <w:lang w:val="en-IE"/>
        </w:rPr>
      </w:pPr>
      <w:r w:rsidRPr="00ED3367">
        <w:rPr>
          <w:rFonts w:asciiTheme="majorHAnsi" w:hAnsiTheme="majorHAnsi" w:cstheme="majorHAnsi"/>
          <w:sz w:val="18"/>
          <w:szCs w:val="18"/>
          <w:vertAlign w:val="superscript"/>
        </w:rPr>
        <w:footnoteRef/>
      </w:r>
      <w:r w:rsidRPr="00ED3367">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"https://www.ldac.eu/images/documents/publications/LDAC_Recommendations_on_FAR.pd</w:instrText>
      </w:r>
      <w:r w:rsidR="009F4E34" w:rsidRPr="004B3125">
        <w:rPr>
          <w:lang w:val="en-IE"/>
        </w:rPr>
        <w:instrText xml:space="preserve">f" \h </w:instrText>
      </w:r>
      <w:r w:rsidR="009F4E34">
        <w:fldChar w:fldCharType="separate"/>
      </w:r>
      <w:r w:rsidRPr="007D09E0">
        <w:rPr>
          <w:rStyle w:val="Hyperlink"/>
          <w:sz w:val="18"/>
          <w:szCs w:val="18"/>
          <w:lang w:val="en-IE"/>
        </w:rPr>
        <w:t>https://www.ldac.eu/images/documents/publications/LDAC_Recommendations_on_FAR.pdf</w:t>
      </w:r>
      <w:r w:rsidR="009F4E34">
        <w:rPr>
          <w:rStyle w:val="Hyperlink"/>
          <w:sz w:val="18"/>
          <w:szCs w:val="18"/>
          <w:lang w:val="en-IE"/>
        </w:rPr>
        <w:fldChar w:fldCharType="end"/>
      </w:r>
      <w:r w:rsidRPr="00ED3367">
        <w:rPr>
          <w:rFonts w:asciiTheme="majorHAnsi" w:hAnsiTheme="majorHAnsi" w:cstheme="majorHAnsi"/>
          <w:sz w:val="18"/>
          <w:szCs w:val="18"/>
          <w:lang w:val="en-IE"/>
        </w:rPr>
        <w:t xml:space="preserve"> </w:t>
      </w:r>
    </w:p>
  </w:footnote>
  <w:footnote w:id="53">
    <w:p w14:paraId="138FB178" w14:textId="74D14950" w:rsidR="001F330E" w:rsidRPr="007D09E0" w:rsidRDefault="001F330E">
      <w:pPr>
        <w:pStyle w:val="FootnoteText"/>
        <w:rPr>
          <w:rFonts w:asciiTheme="majorHAnsi" w:hAnsiTheme="majorHAnsi" w:cstheme="majorHAnsi"/>
          <w:sz w:val="18"/>
          <w:szCs w:val="18"/>
          <w:lang w:val="en-GB"/>
        </w:rPr>
      </w:pPr>
      <w:r w:rsidRPr="007D09E0">
        <w:rPr>
          <w:rStyle w:val="FootnoteReference"/>
          <w:rFonts w:asciiTheme="majorHAnsi" w:hAnsiTheme="majorHAnsi" w:cstheme="majorHAnsi"/>
          <w:sz w:val="18"/>
          <w:szCs w:val="18"/>
        </w:rPr>
        <w:footnoteRef/>
      </w:r>
      <w:r w:rsidRPr="007D09E0">
        <w:rPr>
          <w:rFonts w:asciiTheme="majorHAnsi" w:hAnsiTheme="majorHAnsi" w:cstheme="majorHAnsi"/>
          <w:sz w:val="18"/>
          <w:szCs w:val="18"/>
          <w:lang w:val="en-GB"/>
        </w:rPr>
        <w:t xml:space="preserve"> Vid. Recommendations LDAC Conference on External Dimension of the CFP, Las Palmas de Gran Canaria, 16-17 September 2015.</w:t>
      </w:r>
    </w:p>
  </w:footnote>
  <w:footnote w:id="54">
    <w:p w14:paraId="0F425E96" w14:textId="77777777" w:rsidR="001F330E" w:rsidRPr="00ED3367" w:rsidRDefault="001F330E" w:rsidP="00CA7765">
      <w:pPr>
        <w:spacing w:after="0"/>
        <w:jc w:val="left"/>
        <w:rPr>
          <w:rFonts w:asciiTheme="majorHAnsi" w:hAnsiTheme="majorHAnsi" w:cstheme="majorHAnsi"/>
          <w:sz w:val="18"/>
          <w:szCs w:val="18"/>
          <w:lang w:val="en-IE"/>
        </w:rPr>
      </w:pPr>
      <w:r w:rsidRPr="00ED3367">
        <w:rPr>
          <w:rFonts w:asciiTheme="majorHAnsi" w:hAnsiTheme="majorHAnsi" w:cstheme="majorHAnsi"/>
          <w:sz w:val="18"/>
          <w:szCs w:val="18"/>
          <w:vertAlign w:val="superscript"/>
        </w:rPr>
        <w:footnoteRef/>
      </w:r>
      <w:r w:rsidRPr="00ED3367">
        <w:rPr>
          <w:rFonts w:asciiTheme="majorHAnsi" w:hAnsiTheme="majorHAnsi" w:cstheme="majorHAnsi"/>
          <w:sz w:val="18"/>
          <w:szCs w:val="18"/>
          <w:vertAlign w:val="superscript"/>
          <w:lang w:val="en-IE"/>
        </w:rPr>
        <w:t xml:space="preserve"> </w:t>
      </w:r>
      <w:r w:rsidRPr="00ED3367">
        <w:rPr>
          <w:rFonts w:asciiTheme="majorHAnsi" w:hAnsiTheme="majorHAnsi" w:cstheme="majorHAnsi"/>
          <w:sz w:val="18"/>
          <w:szCs w:val="18"/>
          <w:lang w:val="en-IE"/>
        </w:rPr>
        <w:t>Notably through high level dialogues on fisheries, bilateral dialogues in the context of the EU IUU Regulation, etc. but also at the multilateral level.</w:t>
      </w:r>
    </w:p>
  </w:footnote>
  <w:footnote w:id="55">
    <w:p w14:paraId="00335792" w14:textId="77777777" w:rsidR="001F330E" w:rsidRPr="00A23A47" w:rsidRDefault="001F330E" w:rsidP="00CA7765">
      <w:pPr>
        <w:spacing w:after="0"/>
        <w:jc w:val="left"/>
        <w:rPr>
          <w:rFonts w:asciiTheme="majorHAnsi" w:hAnsiTheme="majorHAnsi" w:cstheme="majorHAnsi"/>
          <w:sz w:val="18"/>
          <w:szCs w:val="18"/>
          <w:lang w:val="en-IE"/>
        </w:rPr>
      </w:pPr>
      <w:r w:rsidRPr="001F330E">
        <w:rPr>
          <w:rFonts w:asciiTheme="majorHAnsi" w:hAnsiTheme="majorHAnsi" w:cstheme="majorHAnsi"/>
          <w:sz w:val="18"/>
          <w:szCs w:val="18"/>
          <w:vertAlign w:val="superscript"/>
        </w:rPr>
        <w:footnoteRef/>
      </w:r>
      <w:r w:rsidRPr="001F330E">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"https://www.cffacape.org/news-blog/csos-complaint-about-italian-vessels-activities-in-sierra-leone-the-european-co</w:instrText>
      </w:r>
      <w:r w:rsidR="009F4E34" w:rsidRPr="004B3125">
        <w:rPr>
          <w:lang w:val="en-IE"/>
        </w:rPr>
        <w:instrText xml:space="preserve">mmission-is-dragging-its-feet" \h </w:instrText>
      </w:r>
      <w:r w:rsidR="009F4E34">
        <w:fldChar w:fldCharType="separate"/>
      </w:r>
      <w:r w:rsidRPr="007D09E0">
        <w:rPr>
          <w:rStyle w:val="Hyperlink"/>
          <w:sz w:val="18"/>
          <w:szCs w:val="18"/>
          <w:lang w:val="en-IE"/>
        </w:rPr>
        <w:t>https://www.cffacape.org/news-blog/csos-complaint-about-italian-vessels-activities-in-sierra-leone-the-european-commission-is-dragging-its-feet</w:t>
      </w:r>
      <w:r w:rsidRPr="007D09E0">
        <w:rPr>
          <w:rFonts w:asciiTheme="majorHAnsi" w:hAnsiTheme="majorHAnsi" w:cstheme="majorHAnsi"/>
          <w:color w:val="1155CC"/>
          <w:sz w:val="18"/>
          <w:szCs w:val="18"/>
          <w:u w:val="single"/>
          <w:lang w:val="en-IE"/>
        </w:rPr>
        <w:t xml:space="preserve"> </w:t>
      </w:r>
      <w:r w:rsidR="009F4E34">
        <w:rPr>
          <w:rFonts w:asciiTheme="majorHAnsi" w:hAnsiTheme="majorHAnsi" w:cstheme="majorHAnsi"/>
          <w:color w:val="1155CC"/>
          <w:sz w:val="18"/>
          <w:szCs w:val="18"/>
          <w:u w:val="single"/>
          <w:lang w:val="en-IE"/>
        </w:rPr>
        <w:fldChar w:fldCharType="end"/>
      </w:r>
      <w:r w:rsidRPr="001F330E">
        <w:rPr>
          <w:rFonts w:asciiTheme="majorHAnsi" w:hAnsiTheme="majorHAnsi" w:cstheme="majorHAnsi"/>
          <w:sz w:val="18"/>
          <w:szCs w:val="18"/>
          <w:lang w:val="en-IE"/>
        </w:rPr>
        <w:t xml:space="preserve"> </w:t>
      </w:r>
    </w:p>
  </w:footnote>
  <w:footnote w:id="56">
    <w:p w14:paraId="4CB31C8F" w14:textId="77777777" w:rsidR="001F330E" w:rsidRPr="001F330E" w:rsidRDefault="001F330E" w:rsidP="00CA7765">
      <w:pPr>
        <w:spacing w:after="0"/>
        <w:jc w:val="left"/>
        <w:rPr>
          <w:rFonts w:asciiTheme="majorHAnsi" w:hAnsiTheme="majorHAnsi" w:cstheme="majorHAnsi"/>
          <w:sz w:val="18"/>
          <w:szCs w:val="18"/>
          <w:vertAlign w:val="superscript"/>
          <w:lang w:val="en-IE"/>
        </w:rPr>
      </w:pPr>
      <w:r w:rsidRPr="001F330E">
        <w:rPr>
          <w:rFonts w:asciiTheme="majorHAnsi" w:hAnsiTheme="majorHAnsi" w:cstheme="majorHAnsi"/>
          <w:sz w:val="18"/>
          <w:szCs w:val="18"/>
          <w:vertAlign w:val="superscript"/>
        </w:rPr>
        <w:footnoteRef/>
      </w:r>
      <w:r w:rsidRPr="001F330E">
        <w:rPr>
          <w:rFonts w:asciiTheme="majorHAnsi" w:hAnsiTheme="majorHAnsi" w:cstheme="majorHAnsi"/>
          <w:color w:val="0563C1"/>
          <w:sz w:val="18"/>
          <w:szCs w:val="18"/>
          <w:u w:val="single"/>
          <w:lang w:val="en-IE"/>
        </w:rPr>
        <w:t xml:space="preserve"> </w:t>
      </w:r>
      <w:r w:rsidRPr="007D09E0">
        <w:rPr>
          <w:rStyle w:val="Hyperlink"/>
          <w:rFonts w:asciiTheme="majorHAnsi" w:hAnsiTheme="majorHAnsi" w:cstheme="majorHAnsi"/>
          <w:sz w:val="18"/>
          <w:szCs w:val="18"/>
          <w:lang w:val="en-IE"/>
        </w:rPr>
        <w:t>https://ec.europa.eu/fisheries/cfp/international_en</w:t>
      </w:r>
    </w:p>
  </w:footnote>
  <w:footnote w:id="57">
    <w:p w14:paraId="0E5B6D59" w14:textId="77777777" w:rsidR="001F330E" w:rsidRPr="00A23A47" w:rsidRDefault="001F330E" w:rsidP="00CA7765">
      <w:pPr>
        <w:spacing w:after="0"/>
        <w:jc w:val="left"/>
        <w:rPr>
          <w:rFonts w:asciiTheme="majorHAnsi" w:hAnsiTheme="majorHAnsi" w:cstheme="majorHAnsi"/>
          <w:sz w:val="18"/>
          <w:szCs w:val="18"/>
          <w:lang w:val="en-IE"/>
        </w:rPr>
      </w:pPr>
      <w:r w:rsidRPr="001F330E">
        <w:rPr>
          <w:rFonts w:asciiTheme="majorHAnsi" w:hAnsiTheme="majorHAnsi" w:cstheme="majorHAnsi"/>
          <w:sz w:val="18"/>
          <w:szCs w:val="18"/>
          <w:vertAlign w:val="superscript"/>
        </w:rPr>
        <w:footnoteRef/>
      </w:r>
      <w:r w:rsidRPr="001F330E">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"https://www.ldac.eu/images/EN_LDAC_Letter_on_Implementation_of_EU_SMEFF_Regulation_April2019.pdf" \h </w:instrText>
      </w:r>
      <w:r w:rsidR="009F4E34">
        <w:fldChar w:fldCharType="separate"/>
      </w:r>
      <w:r w:rsidRPr="007D09E0">
        <w:rPr>
          <w:rStyle w:val="Hyperlink"/>
          <w:sz w:val="18"/>
          <w:szCs w:val="18"/>
          <w:lang w:val="en-IE"/>
        </w:rPr>
        <w:t>https://www.ldac.eu/images/EN_LDAC_Letter_on_Implementation_of_EU_SMEFF_Regulation_April2019.pdf</w:t>
      </w:r>
      <w:r w:rsidR="009F4E34">
        <w:rPr>
          <w:rStyle w:val="Hyperlink"/>
          <w:sz w:val="18"/>
          <w:szCs w:val="18"/>
          <w:lang w:val="en-IE"/>
        </w:rPr>
        <w:fldChar w:fldCharType="end"/>
      </w:r>
      <w:r w:rsidRPr="001F330E">
        <w:rPr>
          <w:rFonts w:asciiTheme="majorHAnsi" w:hAnsiTheme="majorHAnsi" w:cstheme="majorHAnsi"/>
          <w:sz w:val="18"/>
          <w:szCs w:val="18"/>
          <w:lang w:val="en-IE"/>
        </w:rPr>
        <w:t xml:space="preserve"> </w:t>
      </w:r>
    </w:p>
  </w:footnote>
  <w:footnote w:id="58">
    <w:p w14:paraId="647EB790" w14:textId="77777777" w:rsidR="001F330E" w:rsidRPr="00ED3367" w:rsidRDefault="001F330E" w:rsidP="00CA7765">
      <w:pPr>
        <w:spacing w:after="0"/>
        <w:jc w:val="left"/>
        <w:rPr>
          <w:rFonts w:asciiTheme="majorHAnsi" w:hAnsiTheme="majorHAnsi" w:cstheme="majorHAnsi"/>
          <w:sz w:val="18"/>
          <w:szCs w:val="18"/>
          <w:lang w:val="en-IE"/>
        </w:rPr>
      </w:pPr>
      <w:r w:rsidRPr="001F330E">
        <w:rPr>
          <w:rFonts w:asciiTheme="majorHAnsi" w:hAnsiTheme="majorHAnsi" w:cstheme="majorHAnsi"/>
          <w:sz w:val="18"/>
          <w:szCs w:val="18"/>
          <w:vertAlign w:val="superscript"/>
        </w:rPr>
        <w:footnoteRef/>
      </w:r>
      <w:r w:rsidRPr="001F330E">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"https://www.ldac.eu/images/C</w:instrText>
      </w:r>
      <w:r w:rsidR="009F4E34" w:rsidRPr="004B3125">
        <w:rPr>
          <w:lang w:val="en-IE"/>
        </w:rPr>
        <w:instrText xml:space="preserve">ommission_reply_letter_Implementation_SMEFF_regulation_R.03.19.WG5.pdf" \h </w:instrText>
      </w:r>
      <w:r w:rsidR="009F4E34">
        <w:fldChar w:fldCharType="separate"/>
      </w:r>
      <w:r w:rsidRPr="007D09E0">
        <w:rPr>
          <w:rStyle w:val="Hyperlink"/>
          <w:sz w:val="18"/>
          <w:szCs w:val="18"/>
          <w:lang w:val="en-IE"/>
        </w:rPr>
        <w:t>https://www.ldac.eu/images/Commission_reply_letter_Implementation_SMEFF_regulation_R.03.19.WG5.pdf</w:t>
      </w:r>
      <w:r w:rsidR="009F4E34">
        <w:rPr>
          <w:rStyle w:val="Hyperlink"/>
          <w:sz w:val="18"/>
          <w:szCs w:val="18"/>
          <w:lang w:val="en-IE"/>
        </w:rPr>
        <w:fldChar w:fldCharType="end"/>
      </w:r>
      <w:r w:rsidRPr="00ED3367">
        <w:rPr>
          <w:rFonts w:asciiTheme="majorHAnsi" w:hAnsiTheme="majorHAnsi" w:cstheme="majorHAnsi"/>
          <w:sz w:val="18"/>
          <w:szCs w:val="18"/>
          <w:lang w:val="en-IE"/>
        </w:rPr>
        <w:t xml:space="preserve"> </w:t>
      </w:r>
    </w:p>
  </w:footnote>
  <w:footnote w:id="59">
    <w:p w14:paraId="6C54ED0C" w14:textId="77777777" w:rsidR="001F330E" w:rsidRPr="00A23A47" w:rsidRDefault="001F330E" w:rsidP="00947FF3">
      <w:pPr>
        <w:spacing w:after="0"/>
        <w:rPr>
          <w:rFonts w:asciiTheme="majorHAnsi" w:hAnsiTheme="majorHAnsi" w:cstheme="majorHAnsi"/>
          <w:sz w:val="18"/>
          <w:szCs w:val="18"/>
          <w:lang w:val="en-IE"/>
        </w:rPr>
      </w:pPr>
      <w:r w:rsidRPr="00ED3367">
        <w:rPr>
          <w:rFonts w:asciiTheme="majorHAnsi" w:hAnsiTheme="majorHAnsi" w:cstheme="majorHAnsi"/>
          <w:sz w:val="18"/>
          <w:szCs w:val="18"/>
          <w:vertAlign w:val="superscript"/>
        </w:rPr>
        <w:footnoteRef/>
      </w:r>
      <w:r w:rsidRPr="00ED3367">
        <w:rPr>
          <w:rFonts w:asciiTheme="majorHAnsi" w:hAnsiTheme="majorHAnsi" w:cstheme="majorHAnsi"/>
          <w:sz w:val="18"/>
          <w:szCs w:val="18"/>
          <w:lang w:val="en-IE"/>
        </w:rPr>
        <w:t xml:space="preserve"> </w:t>
      </w:r>
      <w:r w:rsidRPr="00ED3367">
        <w:rPr>
          <w:rFonts w:asciiTheme="majorHAnsi" w:hAnsiTheme="majorHAnsi" w:cstheme="majorHAnsi"/>
          <w:color w:val="222222"/>
          <w:sz w:val="18"/>
          <w:szCs w:val="18"/>
          <w:highlight w:val="white"/>
          <w:lang w:val="en-IE"/>
        </w:rPr>
        <w:t xml:space="preserve"> Vid. Reference: LDAC letter on the proposal to improve observance of and compliance with International Law rules in terms of human, labour and social rules in terms of human, labour and social rights applicable to workers in the fishing sector. </w:t>
      </w:r>
      <w:r w:rsidR="009F4E34">
        <w:fldChar w:fldCharType="begin"/>
      </w:r>
      <w:r w:rsidR="009F4E34" w:rsidRPr="004B3125">
        <w:rPr>
          <w:lang w:val="en-GB"/>
        </w:rPr>
        <w:instrText xml:space="preserve"> HYPERLINK "https://ldac.eu/images/documents/publications/Recommendations_for_enhancing_Protection_of_Human_%0DLabour_and_Social_Rights_applicable_to_workers_in_the_fishing_sector.pdf" \h </w:instrText>
      </w:r>
      <w:r w:rsidR="009F4E34">
        <w:fldChar w:fldCharType="separate"/>
      </w:r>
      <w:r w:rsidRPr="007D09E0">
        <w:rPr>
          <w:rStyle w:val="Hyperlink"/>
          <w:sz w:val="18"/>
          <w:szCs w:val="18"/>
          <w:lang w:val="en-GB"/>
        </w:rPr>
        <w:t>https://ldac.eu/images/documents/publications/Recommendations_for_enhancing_Protection_of_Human_ Labour_and_Social_Rights_applicable_to_workers_in_the_fishing_sector.pdf</w:t>
      </w:r>
      <w:r w:rsidR="009F4E34">
        <w:rPr>
          <w:rStyle w:val="Hyperlink"/>
          <w:sz w:val="18"/>
          <w:szCs w:val="18"/>
          <w:lang w:val="en-GB"/>
        </w:rPr>
        <w:fldChar w:fldCharType="end"/>
      </w:r>
      <w:r w:rsidRPr="001F330E">
        <w:rPr>
          <w:rFonts w:asciiTheme="majorHAnsi" w:hAnsiTheme="majorHAnsi" w:cstheme="majorHAnsi"/>
          <w:color w:val="222222"/>
          <w:sz w:val="18"/>
          <w:szCs w:val="18"/>
          <w:highlight w:val="white"/>
          <w:lang w:val="en-IE"/>
        </w:rPr>
        <w:t xml:space="preserve"> </w:t>
      </w:r>
    </w:p>
  </w:footnote>
  <w:footnote w:id="60">
    <w:p w14:paraId="1116C81E" w14:textId="0A6C6B0B" w:rsidR="001F330E" w:rsidRPr="007D09E0" w:rsidRDefault="001F330E" w:rsidP="00947FF3">
      <w:pPr>
        <w:spacing w:after="0"/>
        <w:rPr>
          <w:rStyle w:val="Hyperlink"/>
          <w:rFonts w:asciiTheme="majorHAnsi" w:hAnsiTheme="majorHAnsi" w:cstheme="majorHAnsi"/>
          <w:sz w:val="18"/>
          <w:szCs w:val="18"/>
          <w:lang w:val="en-IE"/>
        </w:rPr>
      </w:pPr>
      <w:r w:rsidRPr="001F330E">
        <w:rPr>
          <w:rFonts w:asciiTheme="majorHAnsi" w:hAnsiTheme="majorHAnsi" w:cstheme="majorHAnsi"/>
          <w:sz w:val="18"/>
          <w:szCs w:val="18"/>
          <w:vertAlign w:val="superscript"/>
        </w:rPr>
        <w:footnoteRef/>
      </w:r>
      <w:r w:rsidRPr="001F330E">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"https://www.wto.org/english/tratop_e/rulesneg_e/fish_e/fish_intro_e.htm" \h </w:instrText>
      </w:r>
      <w:r w:rsidR="009F4E34">
        <w:fldChar w:fldCharType="separate"/>
      </w:r>
      <w:r w:rsidRPr="007D09E0">
        <w:rPr>
          <w:rStyle w:val="Hyperlink"/>
          <w:sz w:val="18"/>
          <w:szCs w:val="18"/>
          <w:lang w:val="en-IE"/>
        </w:rPr>
        <w:t>https://www.wto.org/english/tratop_e/rulesneg_e/fish_e/fish_intro_e.htm</w:t>
      </w:r>
      <w:r w:rsidR="009F4E34">
        <w:rPr>
          <w:rStyle w:val="Hyperlink"/>
          <w:sz w:val="18"/>
          <w:szCs w:val="18"/>
          <w:lang w:val="en-IE"/>
        </w:rPr>
        <w:fldChar w:fldCharType="end"/>
      </w:r>
    </w:p>
  </w:footnote>
  <w:footnote w:id="61">
    <w:p w14:paraId="3207E9F6" w14:textId="43773A13" w:rsidR="001F330E" w:rsidRPr="001F330E" w:rsidRDefault="001F330E" w:rsidP="00947FF3">
      <w:pPr>
        <w:spacing w:after="0"/>
        <w:rPr>
          <w:rFonts w:asciiTheme="majorHAnsi" w:hAnsiTheme="majorHAnsi" w:cstheme="majorHAnsi"/>
          <w:sz w:val="18"/>
          <w:szCs w:val="18"/>
          <w:lang w:val="en-IE"/>
        </w:rPr>
      </w:pPr>
      <w:r w:rsidRPr="001F330E">
        <w:rPr>
          <w:rFonts w:asciiTheme="majorHAnsi" w:hAnsiTheme="majorHAnsi" w:cstheme="majorHAnsi"/>
          <w:sz w:val="18"/>
          <w:szCs w:val="18"/>
          <w:vertAlign w:val="superscript"/>
        </w:rPr>
        <w:footnoteRef/>
      </w:r>
      <w:r w:rsidRPr="001F330E">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"https://ec.europa.eu/fisheries/sites/fisheries/files/docs/body/2015-cfp-funding_en.pdf" \h </w:instrText>
      </w:r>
      <w:r w:rsidR="009F4E34">
        <w:fldChar w:fldCharType="separate"/>
      </w:r>
      <w:r w:rsidRPr="007D09E0">
        <w:rPr>
          <w:rStyle w:val="Hyperlink"/>
          <w:sz w:val="18"/>
          <w:szCs w:val="18"/>
          <w:lang w:val="en-IE"/>
        </w:rPr>
        <w:t>https://ec.europa.eu/fisheries/sites/fisheries/files/docs/body/2015-cfp-funding_en.pdf</w:t>
      </w:r>
      <w:r w:rsidR="009F4E34">
        <w:rPr>
          <w:rStyle w:val="Hyperlink"/>
          <w:sz w:val="18"/>
          <w:szCs w:val="18"/>
          <w:lang w:val="en-IE"/>
        </w:rPr>
        <w:fldChar w:fldCharType="end"/>
      </w:r>
    </w:p>
  </w:footnote>
  <w:footnote w:id="62">
    <w:p w14:paraId="74A74BA5" w14:textId="451F85E5" w:rsidR="001F330E" w:rsidRPr="007D09E0" w:rsidRDefault="001F330E" w:rsidP="00947FF3">
      <w:pPr>
        <w:spacing w:after="0"/>
        <w:rPr>
          <w:rStyle w:val="Hyperlink"/>
          <w:rFonts w:asciiTheme="majorHAnsi" w:hAnsiTheme="majorHAnsi" w:cstheme="majorHAnsi"/>
          <w:sz w:val="18"/>
          <w:szCs w:val="18"/>
          <w:lang w:val="en-IE"/>
        </w:rPr>
      </w:pPr>
      <w:r w:rsidRPr="001F330E">
        <w:rPr>
          <w:rFonts w:asciiTheme="majorHAnsi" w:hAnsiTheme="majorHAnsi" w:cstheme="majorHAnsi"/>
          <w:sz w:val="18"/>
          <w:szCs w:val="18"/>
          <w:vertAlign w:val="superscript"/>
        </w:rPr>
        <w:footnoteRef/>
      </w:r>
      <w:r w:rsidRPr="001F330E">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"https://eur-lex.europa.eu/legal-</w:instrText>
      </w:r>
      <w:r w:rsidR="009F4E34" w:rsidRPr="004B3125">
        <w:rPr>
          <w:lang w:val="en-IE"/>
        </w:rPr>
        <w:instrText xml:space="preserve">content/EN/TXT/?uri=CELEX%3A32014R0508" \h </w:instrText>
      </w:r>
      <w:r w:rsidR="009F4E34">
        <w:fldChar w:fldCharType="separate"/>
      </w:r>
      <w:r w:rsidRPr="007D09E0">
        <w:rPr>
          <w:rStyle w:val="Hyperlink"/>
          <w:sz w:val="18"/>
          <w:szCs w:val="18"/>
          <w:lang w:val="en-IE"/>
        </w:rPr>
        <w:t>https://eur-lex.europa.eu/legal-content/EN/TXT/?uri=CELEX%3A32014R0508</w:t>
      </w:r>
      <w:r w:rsidR="009F4E34">
        <w:rPr>
          <w:rStyle w:val="Hyperlink"/>
          <w:sz w:val="18"/>
          <w:szCs w:val="18"/>
          <w:lang w:val="en-IE"/>
        </w:rPr>
        <w:fldChar w:fldCharType="end"/>
      </w:r>
    </w:p>
  </w:footnote>
  <w:footnote w:id="63">
    <w:p w14:paraId="510DEB82" w14:textId="3D731C51" w:rsidR="001F330E" w:rsidRPr="001F330E" w:rsidRDefault="001F330E" w:rsidP="00947FF3">
      <w:pPr>
        <w:spacing w:after="0"/>
        <w:rPr>
          <w:rFonts w:asciiTheme="majorHAnsi" w:hAnsiTheme="majorHAnsi" w:cstheme="majorHAnsi"/>
          <w:sz w:val="18"/>
          <w:szCs w:val="18"/>
          <w:lang w:val="en-IE"/>
        </w:rPr>
      </w:pPr>
      <w:r w:rsidRPr="001F330E">
        <w:rPr>
          <w:rFonts w:asciiTheme="majorHAnsi" w:hAnsiTheme="majorHAnsi" w:cstheme="majorHAnsi"/>
          <w:sz w:val="18"/>
          <w:szCs w:val="18"/>
          <w:vertAlign w:val="superscript"/>
        </w:rPr>
        <w:footnoteRef/>
      </w:r>
      <w:r w:rsidRPr="001F330E">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"https://eur-lex.europa.eu/legal-content/EN/ALL/?uri=COM:2018:390:FIN" \h </w:instrText>
      </w:r>
      <w:r w:rsidR="009F4E34">
        <w:fldChar w:fldCharType="separate"/>
      </w:r>
      <w:r w:rsidRPr="007D09E0">
        <w:rPr>
          <w:rStyle w:val="Hyperlink"/>
          <w:sz w:val="18"/>
          <w:szCs w:val="18"/>
          <w:lang w:val="en-IE"/>
        </w:rPr>
        <w:t>https://eur-lex.europa.eu/legal-content/EN/ALL/?uri=COM:2018:390:FIN</w:t>
      </w:r>
      <w:r w:rsidR="009F4E34">
        <w:rPr>
          <w:rStyle w:val="Hyperlink"/>
          <w:sz w:val="18"/>
          <w:szCs w:val="18"/>
          <w:lang w:val="en-IE"/>
        </w:rPr>
        <w:fldChar w:fldCharType="end"/>
      </w:r>
    </w:p>
  </w:footnote>
  <w:footnote w:id="64">
    <w:p w14:paraId="1E10A9BA" w14:textId="37F6138B" w:rsidR="001F330E" w:rsidRPr="001F330E" w:rsidRDefault="001F330E" w:rsidP="00947FF3">
      <w:pPr>
        <w:spacing w:after="0"/>
        <w:rPr>
          <w:rFonts w:asciiTheme="majorHAnsi" w:hAnsiTheme="majorHAnsi" w:cstheme="majorHAnsi"/>
          <w:sz w:val="18"/>
          <w:szCs w:val="18"/>
          <w:lang w:val="en-IE"/>
        </w:rPr>
      </w:pPr>
      <w:r w:rsidRPr="001F330E">
        <w:rPr>
          <w:rFonts w:asciiTheme="majorHAnsi" w:hAnsiTheme="majorHAnsi" w:cstheme="majorHAnsi"/>
          <w:sz w:val="18"/>
          <w:szCs w:val="18"/>
          <w:vertAlign w:val="superscript"/>
        </w:rPr>
        <w:footnoteRef/>
      </w:r>
      <w:r w:rsidRPr="001F330E">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"https://op.europa.eu/en/publication-detail/-/publication/45f78bf8-d24b-11e6-ad7c-01aa75ed71a1" \h </w:instrText>
      </w:r>
      <w:r w:rsidR="009F4E34">
        <w:fldChar w:fldCharType="separate"/>
      </w:r>
      <w:r w:rsidRPr="007D09E0">
        <w:rPr>
          <w:rStyle w:val="Hyperlink"/>
          <w:sz w:val="18"/>
          <w:szCs w:val="18"/>
          <w:lang w:val="en-IE"/>
        </w:rPr>
        <w:t>https://op.europa.eu/en/publication-detail/-/publication/45f78bf8-d24b-11e6-ad7c-01aa75ed71a1</w:t>
      </w:r>
      <w:r w:rsidR="009F4E34">
        <w:rPr>
          <w:rStyle w:val="Hyperlink"/>
          <w:sz w:val="18"/>
          <w:szCs w:val="18"/>
          <w:lang w:val="en-IE"/>
        </w:rPr>
        <w:fldChar w:fldCharType="end"/>
      </w:r>
    </w:p>
  </w:footnote>
  <w:footnote w:id="65">
    <w:p w14:paraId="004C13B3" w14:textId="01793F63" w:rsidR="001F330E" w:rsidRPr="00ED3367" w:rsidRDefault="001F330E" w:rsidP="00947FF3">
      <w:pPr>
        <w:spacing w:after="0"/>
        <w:rPr>
          <w:rFonts w:asciiTheme="majorHAnsi" w:hAnsiTheme="majorHAnsi" w:cstheme="majorHAnsi"/>
          <w:sz w:val="18"/>
          <w:szCs w:val="18"/>
          <w:lang w:val="en-IE"/>
        </w:rPr>
      </w:pPr>
      <w:r w:rsidRPr="001F330E">
        <w:rPr>
          <w:rFonts w:asciiTheme="majorHAnsi" w:hAnsiTheme="majorHAnsi" w:cstheme="majorHAnsi"/>
          <w:sz w:val="18"/>
          <w:szCs w:val="18"/>
          <w:vertAlign w:val="superscript"/>
        </w:rPr>
        <w:footnoteRef/>
      </w:r>
      <w:r w:rsidRPr="001F330E">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"https://www.wto.org/english/news_e/news20_e/fish_14dec20_e.htm" \h </w:instrText>
      </w:r>
      <w:r w:rsidR="009F4E34">
        <w:fldChar w:fldCharType="separate"/>
      </w:r>
      <w:r w:rsidRPr="007D09E0">
        <w:rPr>
          <w:rStyle w:val="Hyperlink"/>
          <w:sz w:val="18"/>
          <w:szCs w:val="18"/>
          <w:lang w:val="en-IE"/>
        </w:rPr>
        <w:t>https://www.wto.org/english/news_e/news20_e/fish_14dec20_e.htm</w:t>
      </w:r>
      <w:r w:rsidR="009F4E34">
        <w:rPr>
          <w:rStyle w:val="Hyperlink"/>
          <w:sz w:val="18"/>
          <w:szCs w:val="18"/>
          <w:lang w:val="en-IE"/>
        </w:rPr>
        <w:fldChar w:fldCharType="end"/>
      </w:r>
    </w:p>
  </w:footnote>
  <w:footnote w:id="66">
    <w:p w14:paraId="019C6650" w14:textId="2C7F19D4" w:rsidR="001F330E" w:rsidRPr="00ED3367" w:rsidRDefault="001F330E" w:rsidP="00CA7765">
      <w:pPr>
        <w:spacing w:after="0"/>
        <w:jc w:val="left"/>
        <w:rPr>
          <w:rFonts w:asciiTheme="majorHAnsi" w:hAnsiTheme="majorHAnsi" w:cstheme="majorHAnsi"/>
          <w:sz w:val="18"/>
          <w:szCs w:val="18"/>
          <w:lang w:val="en-IE"/>
        </w:rPr>
      </w:pPr>
      <w:r w:rsidRPr="00ED3367">
        <w:rPr>
          <w:rFonts w:asciiTheme="majorHAnsi" w:hAnsiTheme="majorHAnsi" w:cstheme="majorHAnsi"/>
          <w:sz w:val="18"/>
          <w:szCs w:val="18"/>
          <w:vertAlign w:val="superscript"/>
        </w:rPr>
        <w:footnoteRef/>
      </w:r>
      <w:r w:rsidRPr="00ED3367">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w:instrText>
      </w:r>
      <w:r w:rsidR="009F4E34" w:rsidRPr="004B3125">
        <w:rPr>
          <w:lang w:val="en-IE"/>
        </w:rPr>
        <w:instrText xml:space="preserve">"https://ec.europa.eu/competition/international/overview/foreign_subsidies_white_paper.pdf" \h </w:instrText>
      </w:r>
      <w:r w:rsidR="009F4E34">
        <w:fldChar w:fldCharType="separate"/>
      </w:r>
      <w:r w:rsidRPr="007D09E0">
        <w:rPr>
          <w:rStyle w:val="Hyperlink"/>
          <w:sz w:val="18"/>
          <w:szCs w:val="18"/>
          <w:lang w:val="en-IE"/>
        </w:rPr>
        <w:t>https://ec.europa.eu/competition/international/overview/foreign_subsidies_white_paper.pdf</w:t>
      </w:r>
      <w:r w:rsidR="009F4E34">
        <w:rPr>
          <w:rStyle w:val="Hyperlink"/>
          <w:sz w:val="18"/>
          <w:szCs w:val="18"/>
          <w:lang w:val="en-IE"/>
        </w:rPr>
        <w:fldChar w:fldCharType="end"/>
      </w:r>
    </w:p>
  </w:footnote>
  <w:footnote w:id="67">
    <w:p w14:paraId="680DCBF3" w14:textId="49C81917" w:rsidR="001F330E" w:rsidRPr="001F330E" w:rsidRDefault="001F330E" w:rsidP="00CA7765">
      <w:pPr>
        <w:spacing w:after="0"/>
        <w:jc w:val="left"/>
        <w:rPr>
          <w:rFonts w:asciiTheme="majorHAnsi" w:hAnsiTheme="majorHAnsi" w:cstheme="majorHAnsi"/>
          <w:sz w:val="18"/>
          <w:szCs w:val="18"/>
          <w:lang w:val="en-IE"/>
        </w:rPr>
      </w:pPr>
      <w:r w:rsidRPr="00ED3367">
        <w:rPr>
          <w:rFonts w:asciiTheme="majorHAnsi" w:hAnsiTheme="majorHAnsi" w:cstheme="majorHAnsi"/>
          <w:sz w:val="18"/>
          <w:szCs w:val="18"/>
          <w:vertAlign w:val="superscript"/>
        </w:rPr>
        <w:footnoteRef/>
      </w:r>
      <w:r w:rsidRPr="00ED3367">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"https://ec.europa.eu/info/sites/info/files/2021_commis</w:instrText>
      </w:r>
      <w:r w:rsidR="009F4E34" w:rsidRPr="004B3125">
        <w:rPr>
          <w:lang w:val="en-IE"/>
        </w:rPr>
        <w:instrText xml:space="preserve">sion_work_programme_annexes_en.pdf" \h </w:instrText>
      </w:r>
      <w:r w:rsidR="009F4E34">
        <w:fldChar w:fldCharType="separate"/>
      </w:r>
      <w:r w:rsidRPr="007D09E0">
        <w:rPr>
          <w:rStyle w:val="Hyperlink"/>
          <w:sz w:val="18"/>
          <w:szCs w:val="18"/>
          <w:lang w:val="en-IE"/>
        </w:rPr>
        <w:t>https://ec.europa.eu/info/sites/info/files/2021_commission_work_programme_annexes_en.pdf</w:t>
      </w:r>
      <w:r w:rsidR="009F4E34">
        <w:rPr>
          <w:rStyle w:val="Hyperlink"/>
          <w:sz w:val="18"/>
          <w:szCs w:val="18"/>
          <w:lang w:val="en-IE"/>
        </w:rPr>
        <w:fldChar w:fldCharType="end"/>
      </w:r>
    </w:p>
  </w:footnote>
  <w:footnote w:id="68">
    <w:p w14:paraId="74561D07" w14:textId="0C0787CA" w:rsidR="001F330E" w:rsidRPr="00ED3367" w:rsidRDefault="001F330E" w:rsidP="00CA7765">
      <w:pPr>
        <w:spacing w:after="0"/>
        <w:jc w:val="left"/>
        <w:rPr>
          <w:rFonts w:asciiTheme="majorHAnsi" w:hAnsiTheme="majorHAnsi" w:cstheme="majorHAnsi"/>
          <w:sz w:val="18"/>
          <w:szCs w:val="18"/>
          <w:lang w:val="en-IE"/>
        </w:rPr>
      </w:pPr>
      <w:r w:rsidRPr="001F330E">
        <w:rPr>
          <w:rFonts w:asciiTheme="majorHAnsi" w:hAnsiTheme="majorHAnsi" w:cstheme="majorHAnsi"/>
          <w:sz w:val="18"/>
          <w:szCs w:val="18"/>
          <w:vertAlign w:val="superscript"/>
        </w:rPr>
        <w:footnoteRef/>
      </w:r>
      <w:r w:rsidRPr="001F330E">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"https://wwfeu.awsassets.panda.org/downloads/rfmo_report_en_may2019.pdf" </w:instrText>
      </w:r>
      <w:r w:rsidR="009F4E34">
        <w:fldChar w:fldCharType="separate"/>
      </w:r>
      <w:r w:rsidRPr="007D09E0">
        <w:rPr>
          <w:rStyle w:val="Hyperlink"/>
          <w:rFonts w:asciiTheme="majorHAnsi" w:hAnsiTheme="majorHAnsi" w:cstheme="majorHAnsi"/>
          <w:sz w:val="18"/>
          <w:szCs w:val="18"/>
          <w:lang w:val="en-IE"/>
        </w:rPr>
        <w:t>https://wwfeu.awsassets.panda.org/downloads/rfmo_report_en_may2019.pdf</w:t>
      </w:r>
      <w:r w:rsidR="009F4E34">
        <w:rPr>
          <w:rStyle w:val="Hyperlink"/>
          <w:rFonts w:asciiTheme="majorHAnsi" w:hAnsiTheme="majorHAnsi" w:cstheme="majorHAnsi"/>
          <w:sz w:val="18"/>
          <w:szCs w:val="18"/>
          <w:lang w:val="en-IE"/>
        </w:rPr>
        <w:fldChar w:fldCharType="end"/>
      </w:r>
      <w:r w:rsidRPr="00ED3367">
        <w:rPr>
          <w:rFonts w:asciiTheme="majorHAnsi" w:hAnsiTheme="majorHAnsi" w:cstheme="majorHAnsi"/>
          <w:sz w:val="18"/>
          <w:szCs w:val="18"/>
          <w:lang w:val="en-IE"/>
        </w:rPr>
        <w:t xml:space="preserve"> </w:t>
      </w:r>
    </w:p>
  </w:footnote>
  <w:footnote w:id="69">
    <w:p w14:paraId="26A47C59" w14:textId="61AD8D5E" w:rsidR="001F330E" w:rsidRPr="00A23A47" w:rsidRDefault="001F330E" w:rsidP="00CA7765">
      <w:pPr>
        <w:spacing w:after="0"/>
        <w:jc w:val="left"/>
        <w:rPr>
          <w:rFonts w:asciiTheme="majorHAnsi" w:hAnsiTheme="majorHAnsi" w:cstheme="majorHAnsi"/>
          <w:sz w:val="18"/>
          <w:szCs w:val="18"/>
          <w:lang w:val="en-IE"/>
        </w:rPr>
      </w:pPr>
      <w:r w:rsidRPr="001F330E">
        <w:rPr>
          <w:rFonts w:asciiTheme="majorHAnsi" w:hAnsiTheme="majorHAnsi" w:cstheme="majorHAnsi"/>
          <w:sz w:val="18"/>
          <w:szCs w:val="18"/>
          <w:vertAlign w:val="superscript"/>
        </w:rPr>
        <w:footnoteRef/>
      </w:r>
      <w:r w:rsidRPr="001F330E">
        <w:rPr>
          <w:rFonts w:asciiTheme="majorHAnsi" w:hAnsiTheme="majorHAnsi" w:cstheme="majorHAnsi"/>
          <w:sz w:val="18"/>
          <w:szCs w:val="18"/>
          <w:lang w:val="en-IE"/>
        </w:rPr>
        <w:t xml:space="preserve"> E.g. Prohibition of large scale pelagic drift nets operating in the Indian Ocean (cf. </w:t>
      </w:r>
      <w:r w:rsidR="009F4E34">
        <w:fldChar w:fldCharType="begin"/>
      </w:r>
      <w:r w:rsidR="009F4E34" w:rsidRPr="004B3125">
        <w:rPr>
          <w:lang w:val="en-GB"/>
        </w:rPr>
        <w:instrText xml:space="preserve"> HYPERLINK "https://www.ldac.eu/images/LDAC_Position_drifnets_Indian_Ocean_5March2021FINAL.pdf" \h </w:instrText>
      </w:r>
      <w:r w:rsidR="009F4E34">
        <w:fldChar w:fldCharType="separate"/>
      </w:r>
      <w:r w:rsidRPr="007D09E0">
        <w:rPr>
          <w:rStyle w:val="Hyperlink"/>
          <w:sz w:val="18"/>
          <w:szCs w:val="18"/>
          <w:lang w:val="en-GB"/>
        </w:rPr>
        <w:t>https://www.ldac.eu/images/LDAC_Position_drifnets_Indian_Ocean_5March2021FINAL.pdf</w:t>
      </w:r>
      <w:r w:rsidR="009F4E34">
        <w:rPr>
          <w:rStyle w:val="Hyperlink"/>
          <w:sz w:val="18"/>
          <w:szCs w:val="18"/>
          <w:lang w:val="en-GB"/>
        </w:rPr>
        <w:fldChar w:fldCharType="end"/>
      </w:r>
      <w:r w:rsidRPr="001F330E">
        <w:rPr>
          <w:rFonts w:asciiTheme="majorHAnsi" w:hAnsiTheme="majorHAnsi" w:cstheme="majorHAnsi"/>
          <w:sz w:val="18"/>
          <w:szCs w:val="18"/>
          <w:lang w:val="en-IE"/>
        </w:rPr>
        <w:t>), report of transhipments at sea of tuna fisheries by Asian longliners of tuna fisheries or implementation of naturally attached fins policy for sharks in ICCAT, re-flagging of IUU-listed vessels by flags of convenience as highlighted during the work to be carried out in lieu of the 22</w:t>
      </w:r>
      <w:r w:rsidRPr="001F330E">
        <w:rPr>
          <w:rFonts w:asciiTheme="majorHAnsi" w:hAnsiTheme="majorHAnsi" w:cstheme="majorHAnsi"/>
          <w:sz w:val="18"/>
          <w:szCs w:val="18"/>
          <w:vertAlign w:val="superscript"/>
          <w:lang w:val="en-IE"/>
        </w:rPr>
        <w:t>nd</w:t>
      </w:r>
      <w:r w:rsidRPr="001F330E">
        <w:rPr>
          <w:rFonts w:asciiTheme="majorHAnsi" w:hAnsiTheme="majorHAnsi" w:cstheme="majorHAnsi"/>
          <w:sz w:val="18"/>
          <w:szCs w:val="18"/>
          <w:lang w:val="en-IE"/>
        </w:rPr>
        <w:t xml:space="preserve"> Special Meeting of ICCAT, etc.</w:t>
      </w:r>
    </w:p>
  </w:footnote>
  <w:footnote w:id="70">
    <w:p w14:paraId="0F431DE7" w14:textId="77777777" w:rsidR="001F330E" w:rsidRPr="00ED3367" w:rsidRDefault="001F330E" w:rsidP="00CA7765">
      <w:pPr>
        <w:spacing w:after="0"/>
        <w:jc w:val="left"/>
        <w:rPr>
          <w:rFonts w:asciiTheme="majorHAnsi" w:hAnsiTheme="majorHAnsi" w:cstheme="majorHAnsi"/>
          <w:sz w:val="18"/>
          <w:szCs w:val="18"/>
          <w:lang w:val="en-IE"/>
        </w:rPr>
      </w:pPr>
      <w:r w:rsidRPr="00ED3367">
        <w:rPr>
          <w:rFonts w:asciiTheme="majorHAnsi" w:hAnsiTheme="majorHAnsi" w:cstheme="majorHAnsi"/>
          <w:sz w:val="18"/>
          <w:szCs w:val="18"/>
          <w:vertAlign w:val="superscript"/>
        </w:rPr>
        <w:footnoteRef/>
      </w:r>
      <w:r w:rsidRPr="00ED3367">
        <w:rPr>
          <w:rFonts w:asciiTheme="majorHAnsi" w:hAnsiTheme="majorHAnsi" w:cstheme="majorHAnsi"/>
          <w:sz w:val="18"/>
          <w:szCs w:val="18"/>
          <w:lang w:val="en-IE"/>
        </w:rPr>
        <w:t xml:space="preserve"> </w:t>
      </w:r>
      <w:r w:rsidRPr="007D09E0">
        <w:rPr>
          <w:rStyle w:val="Hyperlink"/>
          <w:rFonts w:asciiTheme="majorHAnsi" w:hAnsiTheme="majorHAnsi" w:cstheme="majorHAnsi"/>
          <w:sz w:val="18"/>
          <w:szCs w:val="18"/>
          <w:lang w:val="en-IE"/>
        </w:rPr>
        <w:t>https://ldac.eu/images/Report_COMHAFAT-_RFMO_Sept_2020.pdf</w:t>
      </w:r>
    </w:p>
  </w:footnote>
  <w:footnote w:id="71">
    <w:p w14:paraId="1CDEE9E8" w14:textId="6067721E" w:rsidR="001F330E" w:rsidRPr="00ED3367" w:rsidRDefault="001F330E" w:rsidP="00CA7765">
      <w:pPr>
        <w:spacing w:after="0"/>
        <w:jc w:val="left"/>
        <w:rPr>
          <w:rFonts w:asciiTheme="majorHAnsi" w:hAnsiTheme="majorHAnsi" w:cstheme="majorHAnsi"/>
          <w:color w:val="1155CC"/>
          <w:sz w:val="18"/>
          <w:szCs w:val="18"/>
          <w:u w:val="single"/>
          <w:lang w:val="en-IE"/>
        </w:rPr>
      </w:pPr>
      <w:r w:rsidRPr="00ED3367">
        <w:rPr>
          <w:rFonts w:asciiTheme="majorHAnsi" w:hAnsiTheme="majorHAnsi" w:cstheme="majorHAnsi"/>
          <w:sz w:val="18"/>
          <w:szCs w:val="18"/>
          <w:vertAlign w:val="superscript"/>
        </w:rPr>
        <w:footnoteRef/>
      </w:r>
      <w:r w:rsidR="009F4E34">
        <w:fldChar w:fldCharType="begin"/>
      </w:r>
      <w:r w:rsidR="009F4E34" w:rsidRPr="004B3125">
        <w:rPr>
          <w:lang w:val="en-IE"/>
        </w:rPr>
        <w:instrText xml:space="preserve"> HYPERLINK "http://ldac.eu/images/documents/publications/LDAC_Recommendations_on_EU_Role_in_International_Fisheries_Governance_December2018.pdf" </w:instrText>
      </w:r>
      <w:r w:rsidR="009F4E34">
        <w:fldChar w:fldCharType="separate"/>
      </w:r>
      <w:r w:rsidRPr="00ED3367">
        <w:rPr>
          <w:rStyle w:val="Hyperlink"/>
          <w:rFonts w:asciiTheme="majorHAnsi" w:hAnsiTheme="majorHAnsi" w:cstheme="majorHAnsi"/>
          <w:sz w:val="18"/>
          <w:szCs w:val="18"/>
          <w:lang w:val="en-IE"/>
        </w:rPr>
        <w:t>http://ldac.eu/images/documents/publications/LDAC_Recommendations_on_EU_Role_in_International_Fisheries_Governance_December2018.pdf</w:t>
      </w:r>
      <w:r w:rsidR="009F4E34">
        <w:rPr>
          <w:rStyle w:val="Hyperlink"/>
          <w:rFonts w:asciiTheme="majorHAnsi" w:hAnsiTheme="majorHAnsi" w:cstheme="majorHAnsi"/>
          <w:sz w:val="18"/>
          <w:szCs w:val="18"/>
          <w:lang w:val="en-IE"/>
        </w:rPr>
        <w:fldChar w:fldCharType="end"/>
      </w:r>
      <w:r w:rsidRPr="00ED3367">
        <w:rPr>
          <w:rFonts w:asciiTheme="majorHAnsi" w:hAnsiTheme="majorHAnsi" w:cstheme="majorHAnsi"/>
          <w:sz w:val="18"/>
          <w:szCs w:val="18"/>
          <w:lang w:val="en-IE"/>
        </w:rPr>
        <w:t xml:space="preserve"> </w:t>
      </w:r>
    </w:p>
  </w:footnote>
  <w:footnote w:id="72">
    <w:p w14:paraId="3638235A" w14:textId="3F9D55E0" w:rsidR="001F330E" w:rsidRPr="007D09E0" w:rsidRDefault="001F330E">
      <w:pPr>
        <w:pStyle w:val="FootnoteText"/>
        <w:rPr>
          <w:rFonts w:asciiTheme="majorHAnsi" w:hAnsiTheme="majorHAnsi" w:cstheme="majorHAnsi"/>
          <w:sz w:val="18"/>
          <w:szCs w:val="18"/>
          <w:lang w:val="en-GB"/>
        </w:rPr>
      </w:pPr>
      <w:r w:rsidRPr="007D09E0">
        <w:rPr>
          <w:rStyle w:val="FootnoteReference"/>
          <w:rFonts w:asciiTheme="majorHAnsi" w:hAnsiTheme="majorHAnsi" w:cstheme="majorHAnsi"/>
          <w:sz w:val="18"/>
          <w:szCs w:val="18"/>
        </w:rPr>
        <w:footnoteRef/>
      </w:r>
      <w:r w:rsidRPr="007D09E0">
        <w:rPr>
          <w:rFonts w:asciiTheme="majorHAnsi" w:hAnsiTheme="majorHAnsi" w:cstheme="majorHAnsi"/>
          <w:sz w:val="18"/>
          <w:szCs w:val="18"/>
          <w:lang w:val="en-GB"/>
        </w:rPr>
        <w:t xml:space="preserve"> </w:t>
      </w:r>
      <w:r w:rsidRPr="00ED3367">
        <w:rPr>
          <w:rFonts w:asciiTheme="majorHAnsi" w:hAnsiTheme="majorHAnsi" w:cstheme="majorHAnsi"/>
          <w:b/>
          <w:bCs/>
          <w:sz w:val="18"/>
          <w:szCs w:val="18"/>
          <w:lang w:val="en-GB"/>
        </w:rPr>
        <w:t>Annex II</w:t>
      </w:r>
      <w:r w:rsidRPr="00ED3367">
        <w:rPr>
          <w:rFonts w:asciiTheme="majorHAnsi" w:hAnsiTheme="majorHAnsi" w:cstheme="majorHAnsi"/>
          <w:sz w:val="18"/>
          <w:szCs w:val="18"/>
          <w:lang w:val="en-GB"/>
        </w:rPr>
        <w:t xml:space="preserve"> presents a </w:t>
      </w:r>
      <w:r w:rsidRPr="00ED3367">
        <w:rPr>
          <w:rFonts w:asciiTheme="majorHAnsi" w:hAnsiTheme="majorHAnsi" w:cstheme="majorHAnsi"/>
          <w:bCs/>
          <w:sz w:val="18"/>
          <w:szCs w:val="18"/>
          <w:lang w:val="en-GB"/>
        </w:rPr>
        <w:t>Comparative table of FADs and technical measures for tuna RFMOs</w:t>
      </w:r>
    </w:p>
  </w:footnote>
  <w:footnote w:id="73">
    <w:p w14:paraId="2EC02B98" w14:textId="77777777" w:rsidR="001F330E" w:rsidRPr="00ED3367" w:rsidRDefault="001F330E" w:rsidP="00CA7765">
      <w:pPr>
        <w:spacing w:after="0"/>
        <w:jc w:val="left"/>
        <w:rPr>
          <w:rFonts w:asciiTheme="majorHAnsi" w:hAnsiTheme="majorHAnsi" w:cstheme="majorHAnsi"/>
          <w:sz w:val="18"/>
          <w:szCs w:val="18"/>
          <w:lang w:val="en-IE"/>
        </w:rPr>
      </w:pPr>
      <w:r w:rsidRPr="00ED3367">
        <w:rPr>
          <w:rFonts w:asciiTheme="majorHAnsi" w:hAnsiTheme="majorHAnsi" w:cstheme="majorHAnsi"/>
          <w:sz w:val="18"/>
          <w:szCs w:val="18"/>
          <w:vertAlign w:val="superscript"/>
        </w:rPr>
        <w:footnoteRef/>
      </w:r>
      <w:r w:rsidRPr="00ED3367">
        <w:rPr>
          <w:rFonts w:asciiTheme="majorHAnsi" w:hAnsiTheme="majorHAnsi" w:cstheme="majorHAnsi"/>
          <w:sz w:val="18"/>
          <w:szCs w:val="18"/>
          <w:lang w:val="en-IE"/>
        </w:rPr>
        <w:t xml:space="preserve"> E.g. Scientific research, measurement and control of fishing capacity, research and management of FADs, improve MCS and fight against IUU fishing.</w:t>
      </w:r>
    </w:p>
  </w:footnote>
  <w:footnote w:id="74">
    <w:p w14:paraId="0629B584" w14:textId="16CB0C47" w:rsidR="001F330E" w:rsidRPr="00ED3367" w:rsidRDefault="001F330E" w:rsidP="00CA7765">
      <w:pPr>
        <w:pStyle w:val="FootnoteText"/>
        <w:jc w:val="left"/>
        <w:rPr>
          <w:rFonts w:asciiTheme="majorHAnsi" w:hAnsiTheme="majorHAnsi" w:cstheme="majorHAnsi"/>
          <w:sz w:val="18"/>
          <w:szCs w:val="18"/>
          <w:lang w:val="en-IE"/>
        </w:rPr>
      </w:pPr>
      <w:r w:rsidRPr="00ED3367">
        <w:rPr>
          <w:rStyle w:val="FootnoteReference"/>
          <w:rFonts w:asciiTheme="majorHAnsi" w:hAnsiTheme="majorHAnsi" w:cstheme="majorHAnsi"/>
          <w:sz w:val="18"/>
          <w:szCs w:val="18"/>
        </w:rPr>
        <w:footnoteRef/>
      </w:r>
      <w:r w:rsidRPr="00ED3367">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"https://ldac.eu/images/documents/publications/LDAC_Recommendation_on_ToR_for_IOTC_WG_on_SocioEconomics_and_Labour_aspects_of_fisheries.pdf" </w:instrText>
      </w:r>
      <w:r w:rsidR="009F4E34">
        <w:fldChar w:fldCharType="separate"/>
      </w:r>
      <w:r w:rsidRPr="00ED3367">
        <w:rPr>
          <w:rStyle w:val="Hyperlink"/>
          <w:rFonts w:asciiTheme="majorHAnsi" w:hAnsiTheme="majorHAnsi" w:cstheme="majorHAnsi"/>
          <w:sz w:val="18"/>
          <w:szCs w:val="18"/>
          <w:lang w:val="en-IE"/>
        </w:rPr>
        <w:t>https://ldac.eu/images/documents/publications/LDAC_Recommendation_on_ToR_for_IOTC_WG_on_SocioEconomics_and_Labour_aspects_of_fisheries.pdf</w:t>
      </w:r>
      <w:r w:rsidR="009F4E34">
        <w:rPr>
          <w:rStyle w:val="Hyperlink"/>
          <w:rFonts w:asciiTheme="majorHAnsi" w:hAnsiTheme="majorHAnsi" w:cstheme="majorHAnsi"/>
          <w:sz w:val="18"/>
          <w:szCs w:val="18"/>
          <w:lang w:val="en-IE"/>
        </w:rPr>
        <w:fldChar w:fldCharType="end"/>
      </w:r>
      <w:r w:rsidRPr="00ED3367">
        <w:rPr>
          <w:rFonts w:asciiTheme="majorHAnsi" w:hAnsiTheme="majorHAnsi" w:cstheme="majorHAnsi"/>
          <w:sz w:val="18"/>
          <w:szCs w:val="18"/>
          <w:lang w:val="en-IE"/>
        </w:rPr>
        <w:t xml:space="preserve"> </w:t>
      </w:r>
    </w:p>
  </w:footnote>
  <w:footnote w:id="75">
    <w:p w14:paraId="1D55368B" w14:textId="77777777" w:rsidR="001F330E" w:rsidRPr="00A23A47" w:rsidRDefault="001F330E" w:rsidP="00CA7765">
      <w:pPr>
        <w:spacing w:after="0"/>
        <w:jc w:val="left"/>
        <w:rPr>
          <w:rFonts w:asciiTheme="majorHAnsi" w:hAnsiTheme="majorHAnsi" w:cstheme="majorHAnsi"/>
          <w:sz w:val="18"/>
          <w:szCs w:val="18"/>
          <w:lang w:val="en-IE"/>
        </w:rPr>
      </w:pPr>
      <w:r w:rsidRPr="00A23A47">
        <w:rPr>
          <w:rFonts w:asciiTheme="majorHAnsi" w:hAnsiTheme="majorHAnsi" w:cstheme="majorHAnsi"/>
          <w:sz w:val="18"/>
          <w:szCs w:val="18"/>
          <w:vertAlign w:val="superscript"/>
        </w:rPr>
        <w:footnoteRef/>
      </w:r>
      <w:r w:rsidRPr="00A23A47">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"https://trade.ec.europa.eu/doclib/docs/2021/february/tradoc_159438.pdf" \h </w:instrText>
      </w:r>
      <w:r w:rsidR="009F4E34">
        <w:fldChar w:fldCharType="separate"/>
      </w:r>
      <w:r w:rsidRPr="007D09E0">
        <w:rPr>
          <w:rStyle w:val="Hyperlink"/>
          <w:sz w:val="18"/>
          <w:szCs w:val="18"/>
          <w:lang w:val="en-IE"/>
        </w:rPr>
        <w:t>https://trade.ec.europa.eu/doclib/docs/2021/february/tradoc_159438.pdf</w:t>
      </w:r>
      <w:r w:rsidR="009F4E34">
        <w:rPr>
          <w:rStyle w:val="Hyperlink"/>
          <w:sz w:val="18"/>
          <w:szCs w:val="18"/>
          <w:lang w:val="en-IE"/>
        </w:rPr>
        <w:fldChar w:fldCharType="end"/>
      </w:r>
      <w:r w:rsidRPr="00A23A47">
        <w:rPr>
          <w:rFonts w:asciiTheme="majorHAnsi" w:hAnsiTheme="majorHAnsi" w:cstheme="majorHAnsi"/>
          <w:sz w:val="18"/>
          <w:szCs w:val="18"/>
          <w:lang w:val="en-IE"/>
        </w:rPr>
        <w:t xml:space="preserve"> </w:t>
      </w:r>
    </w:p>
  </w:footnote>
  <w:footnote w:id="76">
    <w:p w14:paraId="691A418B" w14:textId="77777777" w:rsidR="001F330E" w:rsidRPr="00A23A47" w:rsidRDefault="001F330E" w:rsidP="00CA7765">
      <w:pPr>
        <w:widowControl w:val="0"/>
        <w:spacing w:after="0"/>
        <w:jc w:val="left"/>
        <w:rPr>
          <w:rFonts w:asciiTheme="majorHAnsi" w:hAnsiTheme="majorHAnsi" w:cstheme="majorHAnsi"/>
          <w:sz w:val="18"/>
          <w:szCs w:val="18"/>
          <w:lang w:val="en-IE"/>
        </w:rPr>
      </w:pPr>
      <w:r w:rsidRPr="00A23A47">
        <w:rPr>
          <w:rFonts w:asciiTheme="majorHAnsi" w:hAnsiTheme="majorHAnsi" w:cstheme="majorHAnsi"/>
          <w:sz w:val="18"/>
          <w:szCs w:val="18"/>
          <w:vertAlign w:val="superscript"/>
        </w:rPr>
        <w:footnoteRef/>
      </w:r>
      <w:r w:rsidRPr="00A23A47">
        <w:rPr>
          <w:rFonts w:asciiTheme="majorHAnsi" w:hAnsiTheme="majorHAnsi" w:cstheme="majorHAnsi"/>
          <w:sz w:val="18"/>
          <w:szCs w:val="18"/>
          <w:lang w:val="en-IE"/>
        </w:rPr>
        <w:t xml:space="preserve"> </w:t>
      </w:r>
      <w:r w:rsidRPr="007D09E0">
        <w:rPr>
          <w:rStyle w:val="Hyperlink"/>
          <w:rFonts w:asciiTheme="majorHAnsi" w:hAnsiTheme="majorHAnsi" w:cstheme="majorHAnsi"/>
          <w:sz w:val="18"/>
          <w:szCs w:val="18"/>
          <w:lang w:val="en-IE"/>
        </w:rPr>
        <w:t>https://eur-lex.europa.eu/legal-content/EN/TXT/?uri=CELEX:02012R0978-20200812</w:t>
      </w:r>
    </w:p>
  </w:footnote>
  <w:footnote w:id="77">
    <w:p w14:paraId="2F51638A" w14:textId="77777777" w:rsidR="001F330E" w:rsidRPr="00A23A47" w:rsidRDefault="001F330E" w:rsidP="00CA7765">
      <w:pPr>
        <w:widowControl w:val="0"/>
        <w:spacing w:after="0"/>
        <w:jc w:val="left"/>
        <w:rPr>
          <w:rFonts w:asciiTheme="majorHAnsi" w:hAnsiTheme="majorHAnsi" w:cstheme="majorHAnsi"/>
          <w:sz w:val="18"/>
          <w:szCs w:val="18"/>
          <w:lang w:val="en-IE"/>
        </w:rPr>
      </w:pPr>
      <w:r w:rsidRPr="00A23A47">
        <w:rPr>
          <w:rFonts w:asciiTheme="majorHAnsi" w:hAnsiTheme="majorHAnsi" w:cstheme="majorHAnsi"/>
          <w:sz w:val="18"/>
          <w:szCs w:val="18"/>
          <w:vertAlign w:val="superscript"/>
        </w:rPr>
        <w:footnoteRef/>
      </w:r>
      <w:r w:rsidRPr="00A23A47">
        <w:rPr>
          <w:rFonts w:asciiTheme="majorHAnsi" w:hAnsiTheme="majorHAnsi" w:cstheme="majorHAnsi"/>
          <w:sz w:val="18"/>
          <w:szCs w:val="18"/>
          <w:lang w:val="en-IE"/>
        </w:rPr>
        <w:t xml:space="preserve"> </w:t>
      </w:r>
      <w:r w:rsidRPr="007D09E0">
        <w:rPr>
          <w:rStyle w:val="Hyperlink"/>
          <w:rFonts w:asciiTheme="majorHAnsi" w:hAnsiTheme="majorHAnsi" w:cstheme="majorHAnsi"/>
          <w:sz w:val="18"/>
          <w:szCs w:val="18"/>
          <w:lang w:val="en-IE"/>
        </w:rPr>
        <w:t>https://ec.europa.eu/info/law/better-regulation/have-your-say/initiatives/2136-Towards-the-future-Generalised-Scheme-of-Preferences-legal-framework-granting-trade-advantages-to-developing-countries</w:t>
      </w:r>
    </w:p>
  </w:footnote>
  <w:footnote w:id="78">
    <w:p w14:paraId="60646A24" w14:textId="77777777" w:rsidR="001F330E" w:rsidRPr="00A23A47" w:rsidRDefault="001F330E" w:rsidP="00CA7765">
      <w:pPr>
        <w:widowControl w:val="0"/>
        <w:spacing w:after="0"/>
        <w:jc w:val="left"/>
        <w:rPr>
          <w:rFonts w:asciiTheme="majorHAnsi" w:hAnsiTheme="majorHAnsi" w:cstheme="majorHAnsi"/>
          <w:sz w:val="18"/>
          <w:szCs w:val="18"/>
          <w:lang w:val="en-IE"/>
        </w:rPr>
      </w:pPr>
      <w:r w:rsidRPr="00A23A47">
        <w:rPr>
          <w:rFonts w:asciiTheme="majorHAnsi" w:hAnsiTheme="majorHAnsi" w:cstheme="majorHAnsi"/>
          <w:sz w:val="18"/>
          <w:szCs w:val="18"/>
          <w:vertAlign w:val="superscript"/>
        </w:rPr>
        <w:footnoteRef/>
      </w:r>
      <w:r w:rsidRPr="00A23A47">
        <w:rPr>
          <w:rFonts w:asciiTheme="majorHAnsi" w:hAnsiTheme="majorHAnsi" w:cstheme="majorHAnsi"/>
          <w:sz w:val="18"/>
          <w:szCs w:val="18"/>
          <w:lang w:val="en-IE"/>
        </w:rPr>
        <w:t xml:space="preserve"> </w:t>
      </w:r>
      <w:r w:rsidRPr="007D09E0">
        <w:rPr>
          <w:rStyle w:val="Hyperlink"/>
          <w:rFonts w:asciiTheme="majorHAnsi" w:hAnsiTheme="majorHAnsi" w:cstheme="majorHAnsi"/>
          <w:sz w:val="18"/>
          <w:szCs w:val="18"/>
          <w:lang w:val="en-IE"/>
        </w:rPr>
        <w:t>https://ec.europa.eu/trade/policy/countries-and-regions/development/generalised-scheme-of-preferences/</w:t>
      </w:r>
    </w:p>
  </w:footnote>
  <w:footnote w:id="79">
    <w:p w14:paraId="0748CC16" w14:textId="77777777" w:rsidR="001F330E" w:rsidRPr="00A23A47" w:rsidRDefault="001F330E" w:rsidP="00CA7765">
      <w:pPr>
        <w:widowControl w:val="0"/>
        <w:spacing w:after="0"/>
        <w:jc w:val="left"/>
        <w:rPr>
          <w:rFonts w:asciiTheme="majorHAnsi" w:hAnsiTheme="majorHAnsi" w:cstheme="majorHAnsi"/>
          <w:sz w:val="18"/>
          <w:szCs w:val="18"/>
          <w:lang w:val="en-IE"/>
        </w:rPr>
      </w:pPr>
      <w:r w:rsidRPr="00A23A47">
        <w:rPr>
          <w:rFonts w:asciiTheme="majorHAnsi" w:hAnsiTheme="majorHAnsi" w:cstheme="majorHAnsi"/>
          <w:sz w:val="18"/>
          <w:szCs w:val="18"/>
          <w:vertAlign w:val="superscript"/>
        </w:rPr>
        <w:footnoteRef/>
      </w:r>
      <w:r w:rsidRPr="00A23A47">
        <w:rPr>
          <w:rFonts w:asciiTheme="majorHAnsi" w:hAnsiTheme="majorHAnsi" w:cstheme="majorHAnsi"/>
          <w:sz w:val="18"/>
          <w:szCs w:val="18"/>
          <w:lang w:val="en-IE"/>
        </w:rPr>
        <w:t xml:space="preserve"> </w:t>
      </w:r>
      <w:r w:rsidRPr="007D09E0">
        <w:rPr>
          <w:rStyle w:val="Hyperlink"/>
          <w:rFonts w:asciiTheme="majorHAnsi" w:hAnsiTheme="majorHAnsi" w:cstheme="majorHAnsi"/>
          <w:sz w:val="18"/>
          <w:szCs w:val="18"/>
          <w:lang w:val="en-IE"/>
        </w:rPr>
        <w:t>https://trade.ec.europa.eu/tradehelp/gsp</w:t>
      </w:r>
    </w:p>
  </w:footnote>
  <w:footnote w:id="80">
    <w:p w14:paraId="0ECA15C7" w14:textId="77777777" w:rsidR="001F330E" w:rsidRPr="00A23A47" w:rsidRDefault="001F330E" w:rsidP="00CA7765">
      <w:pPr>
        <w:widowControl w:val="0"/>
        <w:spacing w:after="0"/>
        <w:jc w:val="left"/>
        <w:rPr>
          <w:rFonts w:asciiTheme="majorHAnsi" w:hAnsiTheme="majorHAnsi" w:cstheme="majorHAnsi"/>
          <w:sz w:val="18"/>
          <w:szCs w:val="18"/>
          <w:lang w:val="en-IE"/>
        </w:rPr>
      </w:pPr>
      <w:r w:rsidRPr="00A23A47">
        <w:rPr>
          <w:rFonts w:asciiTheme="majorHAnsi" w:hAnsiTheme="majorHAnsi" w:cstheme="majorHAnsi"/>
          <w:sz w:val="18"/>
          <w:szCs w:val="18"/>
          <w:vertAlign w:val="superscript"/>
        </w:rPr>
        <w:footnoteRef/>
      </w:r>
      <w:r w:rsidRPr="00A23A47">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"https://trade.ec.europa.eu/doclib/docs/2019/may/tradoc_157889.pdf" \h </w:instrText>
      </w:r>
      <w:r w:rsidR="009F4E34">
        <w:fldChar w:fldCharType="separate"/>
      </w:r>
      <w:r w:rsidRPr="007D09E0">
        <w:rPr>
          <w:rStyle w:val="Hyperlink"/>
          <w:sz w:val="18"/>
          <w:szCs w:val="18"/>
          <w:lang w:val="en-IE"/>
        </w:rPr>
        <w:t>https://trade.ec.europa.eu/doclib/docs/2019/may/tradoc_157889.pdf</w:t>
      </w:r>
      <w:r w:rsidR="009F4E34">
        <w:rPr>
          <w:rStyle w:val="Hyperlink"/>
          <w:sz w:val="18"/>
          <w:szCs w:val="18"/>
          <w:lang w:val="en-IE"/>
        </w:rPr>
        <w:fldChar w:fldCharType="end"/>
      </w:r>
      <w:r w:rsidRPr="00A23A47">
        <w:rPr>
          <w:rFonts w:asciiTheme="majorHAnsi" w:hAnsiTheme="majorHAnsi" w:cstheme="majorHAnsi"/>
          <w:sz w:val="18"/>
          <w:szCs w:val="18"/>
          <w:lang w:val="en-IE"/>
        </w:rPr>
        <w:t xml:space="preserve"> </w:t>
      </w:r>
    </w:p>
  </w:footnote>
  <w:footnote w:id="81">
    <w:p w14:paraId="79B22617" w14:textId="77777777" w:rsidR="001F330E" w:rsidRPr="00A23A47" w:rsidRDefault="001F330E" w:rsidP="00CA7765">
      <w:pPr>
        <w:widowControl w:val="0"/>
        <w:spacing w:after="0"/>
        <w:jc w:val="left"/>
        <w:rPr>
          <w:rFonts w:asciiTheme="majorHAnsi" w:hAnsiTheme="majorHAnsi" w:cstheme="majorHAnsi"/>
          <w:sz w:val="18"/>
          <w:szCs w:val="18"/>
          <w:lang w:val="en-IE"/>
        </w:rPr>
      </w:pPr>
      <w:r w:rsidRPr="00A23A47">
        <w:rPr>
          <w:rFonts w:asciiTheme="majorHAnsi" w:hAnsiTheme="majorHAnsi" w:cstheme="majorHAnsi"/>
          <w:sz w:val="18"/>
          <w:szCs w:val="18"/>
          <w:vertAlign w:val="superscript"/>
        </w:rPr>
        <w:footnoteRef/>
      </w:r>
      <w:r w:rsidRPr="00A23A47">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"https://ec.europa.eu/transparency/regdoc/rep/10102/2020/EN/SWD-2020-18-F1-EN-MAIN-PART-1.PDF" \h </w:instrText>
      </w:r>
      <w:r w:rsidR="009F4E34">
        <w:fldChar w:fldCharType="separate"/>
      </w:r>
      <w:r w:rsidRPr="007D09E0">
        <w:rPr>
          <w:rStyle w:val="Hyperlink"/>
          <w:sz w:val="18"/>
          <w:szCs w:val="18"/>
          <w:lang w:val="en-IE"/>
        </w:rPr>
        <w:t>https://ec.europa.eu/transparency/regdoc/rep/10102/2020/EN/SWD-2020-18-F1-EN-MAIN-PART-1.PDF</w:t>
      </w:r>
      <w:r w:rsidR="009F4E34">
        <w:rPr>
          <w:rStyle w:val="Hyperlink"/>
          <w:sz w:val="18"/>
          <w:szCs w:val="18"/>
          <w:lang w:val="en-IE"/>
        </w:rPr>
        <w:fldChar w:fldCharType="end"/>
      </w:r>
      <w:r w:rsidRPr="00A23A47">
        <w:rPr>
          <w:rFonts w:asciiTheme="majorHAnsi" w:hAnsiTheme="majorHAnsi" w:cstheme="majorHAnsi"/>
          <w:sz w:val="18"/>
          <w:szCs w:val="18"/>
          <w:lang w:val="en-IE"/>
        </w:rPr>
        <w:t xml:space="preserve"> </w:t>
      </w:r>
    </w:p>
  </w:footnote>
  <w:footnote w:id="82">
    <w:p w14:paraId="426C4667" w14:textId="77777777" w:rsidR="001F330E" w:rsidRPr="00A23A47" w:rsidRDefault="001F330E" w:rsidP="00CA7765">
      <w:pPr>
        <w:widowControl w:val="0"/>
        <w:spacing w:after="0"/>
        <w:jc w:val="left"/>
        <w:rPr>
          <w:rFonts w:asciiTheme="majorHAnsi" w:hAnsiTheme="majorHAnsi" w:cstheme="majorHAnsi"/>
          <w:sz w:val="18"/>
          <w:szCs w:val="18"/>
          <w:lang w:val="en-IE"/>
        </w:rPr>
      </w:pPr>
      <w:r w:rsidRPr="00A23A47">
        <w:rPr>
          <w:rFonts w:asciiTheme="majorHAnsi" w:hAnsiTheme="majorHAnsi" w:cstheme="majorHAnsi"/>
          <w:sz w:val="18"/>
          <w:szCs w:val="18"/>
          <w:vertAlign w:val="superscript"/>
        </w:rPr>
        <w:footnoteRef/>
      </w:r>
      <w:r w:rsidRPr="00A23A47">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"https://ec.europa.eu/transparency/regdoc/rep/10102/2020/EN/SWD-2020-24-F1-EN-MAIN-PART-1.PDF" \h </w:instrText>
      </w:r>
      <w:r w:rsidR="009F4E34">
        <w:fldChar w:fldCharType="separate"/>
      </w:r>
      <w:r w:rsidRPr="007D09E0">
        <w:rPr>
          <w:rStyle w:val="Hyperlink"/>
          <w:sz w:val="18"/>
          <w:szCs w:val="18"/>
          <w:lang w:val="en-IE"/>
        </w:rPr>
        <w:t>https://ec.europa.eu/transparency/regdoc/rep/10102/2020/EN/SWD-2020-24-F1-EN-MAIN-PART-1.PDF</w:t>
      </w:r>
      <w:r w:rsidR="009F4E34">
        <w:rPr>
          <w:rStyle w:val="Hyperlink"/>
          <w:sz w:val="18"/>
          <w:szCs w:val="18"/>
          <w:lang w:val="en-IE"/>
        </w:rPr>
        <w:fldChar w:fldCharType="end"/>
      </w:r>
      <w:r w:rsidRPr="00A23A47">
        <w:rPr>
          <w:rFonts w:asciiTheme="majorHAnsi" w:hAnsiTheme="majorHAnsi" w:cstheme="majorHAnsi"/>
          <w:sz w:val="18"/>
          <w:szCs w:val="18"/>
          <w:lang w:val="en-IE"/>
        </w:rPr>
        <w:t xml:space="preserve"> </w:t>
      </w:r>
    </w:p>
  </w:footnote>
  <w:footnote w:id="83">
    <w:p w14:paraId="4ED5B59C" w14:textId="77777777" w:rsidR="001F330E" w:rsidRPr="00ED3367" w:rsidRDefault="001F330E" w:rsidP="00CA7765">
      <w:pPr>
        <w:widowControl w:val="0"/>
        <w:spacing w:after="0"/>
        <w:jc w:val="left"/>
        <w:rPr>
          <w:rFonts w:asciiTheme="majorHAnsi" w:hAnsiTheme="majorHAnsi" w:cstheme="majorHAnsi"/>
          <w:sz w:val="18"/>
          <w:szCs w:val="18"/>
          <w:lang w:val="en-IE"/>
        </w:rPr>
      </w:pPr>
      <w:r w:rsidRPr="00A23A47">
        <w:rPr>
          <w:rFonts w:asciiTheme="majorHAnsi" w:hAnsiTheme="majorHAnsi" w:cstheme="majorHAnsi"/>
          <w:sz w:val="18"/>
          <w:szCs w:val="18"/>
          <w:vertAlign w:val="superscript"/>
        </w:rPr>
        <w:footnoteRef/>
      </w:r>
      <w:r w:rsidRPr="00A23A47">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"https://ec.eu</w:instrText>
      </w:r>
      <w:r w:rsidR="009F4E34" w:rsidRPr="004B3125">
        <w:rPr>
          <w:lang w:val="en-IE"/>
        </w:rPr>
        <w:instrText xml:space="preserve">ropa.eu/transparency/regdoc/rep/10102/2020/EN/SWD-2020-25-F1-EN-MAIN-PART-1.PDF" \h </w:instrText>
      </w:r>
      <w:r w:rsidR="009F4E34">
        <w:fldChar w:fldCharType="separate"/>
      </w:r>
      <w:r w:rsidRPr="007D09E0">
        <w:rPr>
          <w:rStyle w:val="Hyperlink"/>
          <w:sz w:val="18"/>
          <w:szCs w:val="18"/>
          <w:lang w:val="en-IE"/>
        </w:rPr>
        <w:t>https://ec.europa.eu/transparency/regdoc/rep/10102/2020/EN/SWD-2020-25-F1-EN-MAIN-PART-1.PDF</w:t>
      </w:r>
      <w:r w:rsidR="009F4E34">
        <w:rPr>
          <w:rStyle w:val="Hyperlink"/>
          <w:sz w:val="18"/>
          <w:szCs w:val="18"/>
          <w:lang w:val="en-IE"/>
        </w:rPr>
        <w:fldChar w:fldCharType="end"/>
      </w:r>
      <w:r w:rsidRPr="00A23A47">
        <w:rPr>
          <w:rFonts w:asciiTheme="majorHAnsi" w:hAnsiTheme="majorHAnsi" w:cstheme="majorHAnsi"/>
          <w:sz w:val="18"/>
          <w:szCs w:val="18"/>
          <w:lang w:val="en-IE"/>
        </w:rPr>
        <w:t xml:space="preserve"> </w:t>
      </w:r>
    </w:p>
  </w:footnote>
  <w:footnote w:id="84">
    <w:p w14:paraId="77A4F37E" w14:textId="77777777" w:rsidR="001F330E" w:rsidRPr="00A23A47" w:rsidRDefault="001F330E" w:rsidP="00CA7765">
      <w:pPr>
        <w:widowControl w:val="0"/>
        <w:spacing w:after="0"/>
        <w:jc w:val="left"/>
        <w:rPr>
          <w:rFonts w:asciiTheme="majorHAnsi" w:hAnsiTheme="majorHAnsi" w:cstheme="majorHAnsi"/>
          <w:sz w:val="18"/>
          <w:szCs w:val="18"/>
          <w:lang w:val="en-IE"/>
        </w:rPr>
      </w:pPr>
      <w:r w:rsidRPr="00A23A47">
        <w:rPr>
          <w:rFonts w:asciiTheme="majorHAnsi" w:hAnsiTheme="majorHAnsi" w:cstheme="majorHAnsi"/>
          <w:sz w:val="18"/>
          <w:szCs w:val="18"/>
          <w:vertAlign w:val="superscript"/>
        </w:rPr>
        <w:footnoteRef/>
      </w:r>
      <w:r w:rsidRPr="00A23A47">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"https://trade.ec.europa.eu/doclib/docs/2018/october/tradoc_15</w:instrText>
      </w:r>
      <w:r w:rsidR="009F4E34" w:rsidRPr="004B3125">
        <w:rPr>
          <w:lang w:val="en-IE"/>
        </w:rPr>
        <w:instrText xml:space="preserve">7438.PDF" \h </w:instrText>
      </w:r>
      <w:r w:rsidR="009F4E34">
        <w:fldChar w:fldCharType="separate"/>
      </w:r>
      <w:r w:rsidRPr="007D09E0">
        <w:rPr>
          <w:rStyle w:val="Hyperlink"/>
          <w:sz w:val="18"/>
          <w:szCs w:val="18"/>
          <w:lang w:val="en-IE"/>
        </w:rPr>
        <w:t>https://trade.ec.europa.eu/doclib/docs/2018/october/tradoc_157438.PDF</w:t>
      </w:r>
      <w:r w:rsidR="009F4E34">
        <w:rPr>
          <w:rStyle w:val="Hyperlink"/>
          <w:sz w:val="18"/>
          <w:szCs w:val="18"/>
          <w:lang w:val="en-IE"/>
        </w:rPr>
        <w:fldChar w:fldCharType="end"/>
      </w:r>
      <w:r w:rsidRPr="00A23A47">
        <w:rPr>
          <w:rFonts w:asciiTheme="majorHAnsi" w:hAnsiTheme="majorHAnsi" w:cstheme="majorHAnsi"/>
          <w:sz w:val="18"/>
          <w:szCs w:val="18"/>
          <w:lang w:val="en-IE"/>
        </w:rPr>
        <w:t xml:space="preserve"> </w:t>
      </w:r>
    </w:p>
  </w:footnote>
  <w:footnote w:id="85">
    <w:p w14:paraId="0E1E101A" w14:textId="6C0457F3" w:rsidR="001F330E" w:rsidRPr="00A23A47" w:rsidRDefault="001F330E" w:rsidP="00CA7765">
      <w:pPr>
        <w:spacing w:after="0"/>
        <w:jc w:val="left"/>
        <w:rPr>
          <w:rFonts w:asciiTheme="majorHAnsi" w:hAnsiTheme="majorHAnsi" w:cstheme="majorHAnsi"/>
          <w:sz w:val="18"/>
          <w:szCs w:val="18"/>
          <w:lang w:val="en-IE"/>
        </w:rPr>
      </w:pPr>
      <w:r w:rsidRPr="00ED3367">
        <w:rPr>
          <w:rFonts w:asciiTheme="majorHAnsi" w:hAnsiTheme="majorHAnsi" w:cstheme="majorHAnsi"/>
          <w:sz w:val="18"/>
          <w:szCs w:val="18"/>
          <w:vertAlign w:val="superscript"/>
        </w:rPr>
        <w:footnoteRef/>
      </w:r>
      <w:r w:rsidR="009F4E34">
        <w:fldChar w:fldCharType="begin"/>
      </w:r>
      <w:r w:rsidR="009F4E34" w:rsidRPr="004B3125">
        <w:rPr>
          <w:lang w:val="en-IE"/>
        </w:rPr>
        <w:instrText xml:space="preserve"> HYPERLINK "https://ldac.eu/images/documents/publications/LDAC_Advice_GSPon_Review_of_Trade_Agreements._Case_of_Philippines.pdf" </w:instrText>
      </w:r>
      <w:r w:rsidR="009F4E34">
        <w:fldChar w:fldCharType="separate"/>
      </w:r>
      <w:r w:rsidRPr="007D09E0">
        <w:rPr>
          <w:rStyle w:val="Hyperlink"/>
          <w:rFonts w:asciiTheme="majorHAnsi" w:hAnsiTheme="majorHAnsi" w:cstheme="majorHAnsi"/>
          <w:sz w:val="18"/>
          <w:szCs w:val="18"/>
          <w:lang w:val="en-IE"/>
        </w:rPr>
        <w:t>https://ldac.eu/images/documents/publications/LDAC_Advice_GSPon_Review_of_Trade_Agreements._Case_of_Philippines.pdf</w:t>
      </w:r>
      <w:r w:rsidR="009F4E34">
        <w:rPr>
          <w:rStyle w:val="Hyperlink"/>
          <w:rFonts w:asciiTheme="majorHAnsi" w:hAnsiTheme="majorHAnsi" w:cstheme="majorHAnsi"/>
          <w:sz w:val="18"/>
          <w:szCs w:val="18"/>
          <w:lang w:val="en-IE"/>
        </w:rPr>
        <w:fldChar w:fldCharType="end"/>
      </w:r>
      <w:r w:rsidRPr="00A23A47">
        <w:rPr>
          <w:rFonts w:asciiTheme="majorHAnsi" w:hAnsiTheme="majorHAnsi" w:cstheme="majorHAnsi"/>
          <w:sz w:val="18"/>
          <w:szCs w:val="18"/>
          <w:lang w:val="en-IE"/>
        </w:rPr>
        <w:t xml:space="preserve"> </w:t>
      </w:r>
    </w:p>
  </w:footnote>
  <w:footnote w:id="86">
    <w:p w14:paraId="325C7B81" w14:textId="77777777" w:rsidR="001F330E" w:rsidRPr="00A23A47" w:rsidRDefault="001F330E" w:rsidP="00CA7765">
      <w:pPr>
        <w:widowControl w:val="0"/>
        <w:spacing w:after="0"/>
        <w:jc w:val="left"/>
        <w:rPr>
          <w:rFonts w:asciiTheme="majorHAnsi" w:hAnsiTheme="majorHAnsi" w:cstheme="majorHAnsi"/>
          <w:sz w:val="18"/>
          <w:szCs w:val="18"/>
          <w:lang w:val="en-IE"/>
        </w:rPr>
      </w:pPr>
      <w:r w:rsidRPr="00A23A47">
        <w:rPr>
          <w:rFonts w:asciiTheme="majorHAnsi" w:hAnsiTheme="majorHAnsi" w:cstheme="majorHAnsi"/>
          <w:sz w:val="18"/>
          <w:szCs w:val="18"/>
          <w:vertAlign w:val="superscript"/>
        </w:rPr>
        <w:footnoteRef/>
      </w:r>
      <w:r w:rsidRPr="00A23A47">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"https://ec.europa.eu/transparency/regdoc/rep/10102/2020/EN/SWD-2020-24-F1-EN-MAIN-PART-1.PDF" \h </w:instrText>
      </w:r>
      <w:r w:rsidR="009F4E34">
        <w:fldChar w:fldCharType="separate"/>
      </w:r>
      <w:r w:rsidRPr="007D09E0">
        <w:rPr>
          <w:rStyle w:val="Hyperlink"/>
          <w:sz w:val="18"/>
          <w:szCs w:val="18"/>
          <w:lang w:val="en-IE"/>
        </w:rPr>
        <w:t>https://ec.europa.eu/transparency/regdoc/rep/10102/2020/EN/SWD-2020-24-F1-EN-MAIN-PART-1.PDF</w:t>
      </w:r>
      <w:r w:rsidR="009F4E34">
        <w:rPr>
          <w:rStyle w:val="Hyperlink"/>
          <w:sz w:val="18"/>
          <w:szCs w:val="18"/>
          <w:lang w:val="en-IE"/>
        </w:rPr>
        <w:fldChar w:fldCharType="end"/>
      </w:r>
      <w:r w:rsidRPr="00A23A47">
        <w:rPr>
          <w:rFonts w:asciiTheme="majorHAnsi" w:hAnsiTheme="majorHAnsi" w:cstheme="majorHAnsi"/>
          <w:sz w:val="18"/>
          <w:szCs w:val="18"/>
          <w:lang w:val="en-IE"/>
        </w:rPr>
        <w:t xml:space="preserve"> </w:t>
      </w:r>
    </w:p>
  </w:footnote>
  <w:footnote w:id="87">
    <w:p w14:paraId="20FAD756" w14:textId="77777777" w:rsidR="001F330E" w:rsidRPr="00A23A47" w:rsidRDefault="001F330E" w:rsidP="00CA7765">
      <w:pPr>
        <w:widowControl w:val="0"/>
        <w:spacing w:after="0"/>
        <w:jc w:val="left"/>
        <w:rPr>
          <w:rFonts w:asciiTheme="majorHAnsi" w:hAnsiTheme="majorHAnsi" w:cstheme="majorHAnsi"/>
          <w:sz w:val="18"/>
          <w:szCs w:val="18"/>
          <w:lang w:val="en-IE"/>
        </w:rPr>
      </w:pPr>
      <w:r w:rsidRPr="00A23A47">
        <w:rPr>
          <w:rFonts w:asciiTheme="majorHAnsi" w:hAnsiTheme="majorHAnsi" w:cstheme="majorHAnsi"/>
          <w:sz w:val="18"/>
          <w:szCs w:val="18"/>
          <w:vertAlign w:val="superscript"/>
        </w:rPr>
        <w:footnoteRef/>
      </w:r>
      <w:r w:rsidRPr="00A23A47">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"https://trade.ec.europa.eu/doclib/do</w:instrText>
      </w:r>
      <w:r w:rsidR="009F4E34" w:rsidRPr="004B3125">
        <w:rPr>
          <w:lang w:val="en-IE"/>
        </w:rPr>
        <w:instrText xml:space="preserve">cs/2017/july/tradoc_155839.pdf" \h </w:instrText>
      </w:r>
      <w:r w:rsidR="009F4E34">
        <w:fldChar w:fldCharType="separate"/>
      </w:r>
      <w:r w:rsidRPr="007D09E0">
        <w:rPr>
          <w:rStyle w:val="Hyperlink"/>
          <w:sz w:val="18"/>
          <w:szCs w:val="18"/>
          <w:lang w:val="en-IE"/>
        </w:rPr>
        <w:t>https://trade.ec.europa.eu/doclib/docs/2017/july/tradoc_155839.pdf</w:t>
      </w:r>
      <w:r w:rsidR="009F4E34">
        <w:rPr>
          <w:rStyle w:val="Hyperlink"/>
          <w:sz w:val="18"/>
          <w:szCs w:val="18"/>
          <w:lang w:val="en-IE"/>
        </w:rPr>
        <w:fldChar w:fldCharType="end"/>
      </w:r>
      <w:r w:rsidRPr="00A23A47">
        <w:rPr>
          <w:rFonts w:asciiTheme="majorHAnsi" w:hAnsiTheme="majorHAnsi" w:cstheme="majorHAnsi"/>
          <w:sz w:val="18"/>
          <w:szCs w:val="18"/>
          <w:lang w:val="en-IE"/>
        </w:rPr>
        <w:t xml:space="preserve"> </w:t>
      </w:r>
    </w:p>
  </w:footnote>
  <w:footnote w:id="88">
    <w:p w14:paraId="5223BF0E" w14:textId="77777777" w:rsidR="001F330E" w:rsidRPr="00A23A47" w:rsidRDefault="001F330E" w:rsidP="00CA7765">
      <w:pPr>
        <w:widowControl w:val="0"/>
        <w:spacing w:after="0"/>
        <w:jc w:val="left"/>
        <w:rPr>
          <w:rFonts w:asciiTheme="majorHAnsi" w:hAnsiTheme="majorHAnsi" w:cstheme="majorHAnsi"/>
          <w:sz w:val="18"/>
          <w:szCs w:val="18"/>
          <w:lang w:val="en-IE"/>
        </w:rPr>
      </w:pPr>
      <w:r w:rsidRPr="00A23A47">
        <w:rPr>
          <w:rFonts w:asciiTheme="majorHAnsi" w:hAnsiTheme="majorHAnsi" w:cstheme="majorHAnsi"/>
          <w:sz w:val="18"/>
          <w:szCs w:val="18"/>
          <w:vertAlign w:val="superscript"/>
        </w:rPr>
        <w:footnoteRef/>
      </w:r>
      <w:r w:rsidRPr="00A23A47">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"https://ec.europa.eu/fisheries/sites/fisheries/files/illegal-fishing-overview-of-existing-procedures-third-countries_en.pdf" \h </w:instrText>
      </w:r>
      <w:r w:rsidR="009F4E34">
        <w:fldChar w:fldCharType="separate"/>
      </w:r>
      <w:r w:rsidRPr="007D09E0">
        <w:rPr>
          <w:rStyle w:val="Hyperlink"/>
          <w:sz w:val="18"/>
          <w:szCs w:val="18"/>
          <w:lang w:val="en-IE"/>
        </w:rPr>
        <w:t>https://ec.europa.eu/fisheries/sites/fisheries/files/illegal-fishing-overview-of-existing-procedures-third-countries_en.pdf</w:t>
      </w:r>
      <w:r w:rsidR="009F4E34">
        <w:rPr>
          <w:rStyle w:val="Hyperlink"/>
          <w:sz w:val="18"/>
          <w:szCs w:val="18"/>
          <w:lang w:val="en-IE"/>
        </w:rPr>
        <w:fldChar w:fldCharType="end"/>
      </w:r>
      <w:r w:rsidRPr="00A23A47">
        <w:rPr>
          <w:rFonts w:asciiTheme="majorHAnsi" w:hAnsiTheme="majorHAnsi" w:cstheme="majorHAnsi"/>
          <w:sz w:val="18"/>
          <w:szCs w:val="18"/>
          <w:lang w:val="en-IE"/>
        </w:rPr>
        <w:t xml:space="preserve"> </w:t>
      </w:r>
    </w:p>
  </w:footnote>
  <w:footnote w:id="89">
    <w:p w14:paraId="40655A7F" w14:textId="77777777" w:rsidR="001F330E" w:rsidRPr="00A23A47" w:rsidRDefault="001F330E" w:rsidP="0091582D">
      <w:pPr>
        <w:widowControl w:val="0"/>
        <w:spacing w:after="0"/>
        <w:rPr>
          <w:rFonts w:asciiTheme="majorHAnsi" w:hAnsiTheme="majorHAnsi" w:cstheme="majorHAnsi"/>
          <w:sz w:val="18"/>
          <w:szCs w:val="18"/>
          <w:lang w:val="en-IE"/>
        </w:rPr>
      </w:pPr>
      <w:r w:rsidRPr="00A23A47">
        <w:rPr>
          <w:rFonts w:asciiTheme="majorHAnsi" w:hAnsiTheme="majorHAnsi" w:cstheme="majorHAnsi"/>
          <w:sz w:val="18"/>
          <w:szCs w:val="18"/>
          <w:vertAlign w:val="superscript"/>
        </w:rPr>
        <w:footnoteRef/>
      </w:r>
      <w:r w:rsidRPr="00A23A47">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"https://www.europarl.europa.eu/doceo/document/E-8-2014-005847-ASW_EN.html?redirect" \h </w:instrText>
      </w:r>
      <w:r w:rsidR="009F4E34">
        <w:fldChar w:fldCharType="separate"/>
      </w:r>
      <w:r w:rsidRPr="007D09E0">
        <w:rPr>
          <w:rStyle w:val="Hyperlink"/>
          <w:sz w:val="18"/>
          <w:szCs w:val="18"/>
          <w:lang w:val="en-IE"/>
        </w:rPr>
        <w:t>https://www.europarl.europa.eu/doceo/document/E-8-2014-005847-ASW_EN.html?redirect</w:t>
      </w:r>
      <w:r w:rsidR="009F4E34">
        <w:rPr>
          <w:rStyle w:val="Hyperlink"/>
          <w:sz w:val="18"/>
          <w:szCs w:val="18"/>
          <w:lang w:val="en-IE"/>
        </w:rPr>
        <w:fldChar w:fldCharType="end"/>
      </w:r>
      <w:r w:rsidRPr="00A23A47">
        <w:rPr>
          <w:rFonts w:asciiTheme="majorHAnsi" w:hAnsiTheme="majorHAnsi" w:cstheme="majorHAnsi"/>
          <w:sz w:val="18"/>
          <w:szCs w:val="18"/>
          <w:lang w:val="en-IE"/>
        </w:rPr>
        <w:t xml:space="preserve"> </w:t>
      </w:r>
    </w:p>
  </w:footnote>
  <w:footnote w:id="90">
    <w:p w14:paraId="0B4D8EE2" w14:textId="77777777" w:rsidR="001F330E" w:rsidRPr="00A23A47" w:rsidRDefault="001F330E" w:rsidP="0091582D">
      <w:pPr>
        <w:widowControl w:val="0"/>
        <w:spacing w:after="0"/>
        <w:rPr>
          <w:rFonts w:asciiTheme="majorHAnsi" w:hAnsiTheme="majorHAnsi" w:cstheme="majorHAnsi"/>
          <w:sz w:val="18"/>
          <w:szCs w:val="18"/>
          <w:lang w:val="en-IE"/>
        </w:rPr>
      </w:pPr>
      <w:r w:rsidRPr="00A23A47">
        <w:rPr>
          <w:rFonts w:asciiTheme="majorHAnsi" w:hAnsiTheme="majorHAnsi" w:cstheme="majorHAnsi"/>
          <w:sz w:val="18"/>
          <w:szCs w:val="18"/>
          <w:vertAlign w:val="superscript"/>
        </w:rPr>
        <w:footnoteRef/>
      </w:r>
      <w:r w:rsidRPr="00A23A47">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"https://www.europarl.europa.eu/doceo/document/E-8-2014-006591-ASW_EN.pdf" \h </w:instrText>
      </w:r>
      <w:r w:rsidR="009F4E34">
        <w:fldChar w:fldCharType="separate"/>
      </w:r>
      <w:r w:rsidRPr="007D09E0">
        <w:rPr>
          <w:rStyle w:val="Hyperlink"/>
          <w:sz w:val="18"/>
          <w:szCs w:val="18"/>
          <w:lang w:val="en-IE"/>
        </w:rPr>
        <w:t>https://www.europarl.europa.eu/doceo/document/E-8-2014-006591-ASW_EN.pdf</w:t>
      </w:r>
      <w:r w:rsidR="009F4E34">
        <w:rPr>
          <w:rStyle w:val="Hyperlink"/>
          <w:sz w:val="18"/>
          <w:szCs w:val="18"/>
          <w:lang w:val="en-IE"/>
        </w:rPr>
        <w:fldChar w:fldCharType="end"/>
      </w:r>
      <w:r w:rsidRPr="00A23A47">
        <w:rPr>
          <w:rFonts w:asciiTheme="majorHAnsi" w:hAnsiTheme="majorHAnsi" w:cstheme="majorHAnsi"/>
          <w:sz w:val="18"/>
          <w:szCs w:val="18"/>
          <w:lang w:val="en-IE"/>
        </w:rPr>
        <w:t xml:space="preserve"> </w:t>
      </w:r>
    </w:p>
  </w:footnote>
  <w:footnote w:id="91">
    <w:p w14:paraId="396F3849" w14:textId="48E77A60" w:rsidR="001F330E" w:rsidRPr="00A23A47" w:rsidRDefault="001F330E" w:rsidP="0091582D">
      <w:pPr>
        <w:widowControl w:val="0"/>
        <w:spacing w:after="0"/>
        <w:rPr>
          <w:rFonts w:asciiTheme="majorHAnsi" w:hAnsiTheme="majorHAnsi" w:cstheme="majorHAnsi"/>
          <w:sz w:val="18"/>
          <w:szCs w:val="18"/>
          <w:lang w:val="en-IE"/>
        </w:rPr>
      </w:pPr>
      <w:r w:rsidRPr="00A23A47">
        <w:rPr>
          <w:rFonts w:asciiTheme="majorHAnsi" w:hAnsiTheme="majorHAnsi" w:cstheme="majorHAnsi"/>
          <w:sz w:val="18"/>
          <w:szCs w:val="18"/>
          <w:vertAlign w:val="superscript"/>
        </w:rPr>
        <w:footnoteRef/>
      </w:r>
      <w:r w:rsidRPr="00A23A47">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"https://iotc.org/docum</w:instrText>
      </w:r>
      <w:r w:rsidR="009F4E34" w:rsidRPr="004B3125">
        <w:rPr>
          <w:lang w:val="en-IE"/>
        </w:rPr>
        <w:instrText xml:space="preserve">ents/draft-2021-indian-ocean-tuna-commission-iuu-vessels-list" </w:instrText>
      </w:r>
      <w:r w:rsidR="009F4E34">
        <w:fldChar w:fldCharType="separate"/>
      </w:r>
      <w:r w:rsidRPr="007D09E0">
        <w:rPr>
          <w:rStyle w:val="Hyperlink"/>
          <w:rFonts w:asciiTheme="majorHAnsi" w:hAnsiTheme="majorHAnsi" w:cstheme="majorHAnsi"/>
          <w:sz w:val="18"/>
          <w:szCs w:val="18"/>
          <w:lang w:val="en-IE"/>
        </w:rPr>
        <w:t>https://iotc.org/documents/draft-2021-indian-ocean-tuna-commission-iuu-vessels-list</w:t>
      </w:r>
      <w:r w:rsidR="009F4E34">
        <w:rPr>
          <w:rStyle w:val="Hyperlink"/>
          <w:rFonts w:asciiTheme="majorHAnsi" w:hAnsiTheme="majorHAnsi" w:cstheme="majorHAnsi"/>
          <w:sz w:val="18"/>
          <w:szCs w:val="18"/>
          <w:lang w:val="en-IE"/>
        </w:rPr>
        <w:fldChar w:fldCharType="end"/>
      </w:r>
      <w:r w:rsidRPr="00A23A47">
        <w:rPr>
          <w:rFonts w:asciiTheme="majorHAnsi" w:hAnsiTheme="majorHAnsi" w:cstheme="majorHAnsi"/>
          <w:sz w:val="18"/>
          <w:szCs w:val="18"/>
          <w:lang w:val="en-IE"/>
        </w:rPr>
        <w:t xml:space="preserve"> </w:t>
      </w:r>
    </w:p>
  </w:footnote>
  <w:footnote w:id="92">
    <w:p w14:paraId="7ACF2D98" w14:textId="77777777" w:rsidR="001F330E" w:rsidRPr="00ED3367" w:rsidRDefault="001F330E" w:rsidP="0091582D">
      <w:pPr>
        <w:widowControl w:val="0"/>
        <w:spacing w:after="0"/>
        <w:rPr>
          <w:rFonts w:asciiTheme="majorHAnsi" w:hAnsiTheme="majorHAnsi" w:cstheme="majorHAnsi"/>
          <w:sz w:val="18"/>
          <w:szCs w:val="18"/>
          <w:lang w:val="en-IE"/>
        </w:rPr>
      </w:pPr>
      <w:r w:rsidRPr="00A23A47">
        <w:rPr>
          <w:rFonts w:asciiTheme="majorHAnsi" w:hAnsiTheme="majorHAnsi" w:cstheme="majorHAnsi"/>
          <w:sz w:val="18"/>
          <w:szCs w:val="18"/>
          <w:vertAlign w:val="superscript"/>
        </w:rPr>
        <w:footnoteRef/>
      </w:r>
      <w:r w:rsidRPr="00A23A47">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"https://eur-lex.europa.eu/legal-content/EN/TXT/?qid=1500986680646&amp;uri=CELEX:32012R0978" \h </w:instrText>
      </w:r>
      <w:r w:rsidR="009F4E34">
        <w:fldChar w:fldCharType="separate"/>
      </w:r>
      <w:r w:rsidRPr="007D09E0">
        <w:rPr>
          <w:rStyle w:val="Hyperlink"/>
          <w:sz w:val="18"/>
          <w:szCs w:val="18"/>
          <w:lang w:val="en-IE"/>
        </w:rPr>
        <w:t>https://eur-lex.europa.eu/legal-content/EN/TXT/?qid=1500986680646&amp;uri=CELEX:32012R0978</w:t>
      </w:r>
      <w:r w:rsidR="009F4E34">
        <w:rPr>
          <w:rStyle w:val="Hyperlink"/>
          <w:sz w:val="18"/>
          <w:szCs w:val="18"/>
          <w:lang w:val="en-IE"/>
        </w:rPr>
        <w:fldChar w:fldCharType="end"/>
      </w:r>
      <w:r w:rsidRPr="00ED3367">
        <w:rPr>
          <w:rFonts w:asciiTheme="majorHAnsi" w:hAnsiTheme="majorHAnsi" w:cstheme="majorHAnsi"/>
          <w:sz w:val="18"/>
          <w:szCs w:val="18"/>
          <w:lang w:val="en-IE"/>
        </w:rPr>
        <w:t xml:space="preserve"> </w:t>
      </w:r>
    </w:p>
  </w:footnote>
  <w:footnote w:id="93">
    <w:p w14:paraId="791521B1" w14:textId="77777777" w:rsidR="001F330E" w:rsidRPr="00ED3367" w:rsidRDefault="001F330E" w:rsidP="0091582D">
      <w:pPr>
        <w:widowControl w:val="0"/>
        <w:spacing w:after="0"/>
        <w:rPr>
          <w:rFonts w:asciiTheme="majorHAnsi" w:hAnsiTheme="majorHAnsi" w:cstheme="majorHAnsi"/>
          <w:sz w:val="18"/>
          <w:szCs w:val="18"/>
          <w:lang w:val="en-IE"/>
        </w:rPr>
      </w:pPr>
      <w:r w:rsidRPr="00ED3367">
        <w:rPr>
          <w:rFonts w:asciiTheme="majorHAnsi" w:hAnsiTheme="majorHAnsi" w:cstheme="majorHAnsi"/>
          <w:sz w:val="18"/>
          <w:szCs w:val="18"/>
          <w:vertAlign w:val="superscript"/>
        </w:rPr>
        <w:footnoteRef/>
      </w:r>
      <w:r w:rsidRPr="00ED3367">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"https://www.ldac.eu/images/LDAC_Advice_Response_EC_Questionnaire_GSP_2020_25May2020.pdf" \h </w:instrText>
      </w:r>
      <w:r w:rsidR="009F4E34">
        <w:fldChar w:fldCharType="separate"/>
      </w:r>
      <w:r w:rsidRPr="007D09E0">
        <w:rPr>
          <w:rStyle w:val="Hyperlink"/>
          <w:sz w:val="18"/>
          <w:szCs w:val="18"/>
          <w:lang w:val="en-IE"/>
        </w:rPr>
        <w:t>https://www.ldac.eu/images/LDAC_Advice_Response_EC_Questionnaire_GSP_2020_25May2020.pdf</w:t>
      </w:r>
      <w:r w:rsidR="009F4E34">
        <w:rPr>
          <w:rStyle w:val="Hyperlink"/>
          <w:sz w:val="18"/>
          <w:szCs w:val="18"/>
          <w:lang w:val="en-IE"/>
        </w:rPr>
        <w:fldChar w:fldCharType="end"/>
      </w:r>
      <w:r w:rsidRPr="00ED3367">
        <w:rPr>
          <w:rFonts w:asciiTheme="majorHAnsi" w:hAnsiTheme="majorHAnsi" w:cstheme="majorHAnsi"/>
          <w:sz w:val="18"/>
          <w:szCs w:val="18"/>
          <w:lang w:val="en-IE"/>
        </w:rPr>
        <w:t xml:space="preserve"> </w:t>
      </w:r>
    </w:p>
  </w:footnote>
  <w:footnote w:id="94">
    <w:p w14:paraId="3ABA7EB5" w14:textId="77777777" w:rsidR="001F330E" w:rsidRPr="00ED3367" w:rsidRDefault="001F330E" w:rsidP="0091582D">
      <w:pPr>
        <w:spacing w:after="0"/>
        <w:rPr>
          <w:rFonts w:asciiTheme="majorHAnsi" w:hAnsiTheme="majorHAnsi" w:cstheme="majorHAnsi"/>
          <w:sz w:val="18"/>
          <w:szCs w:val="18"/>
          <w:vertAlign w:val="superscript"/>
          <w:lang w:val="en-IE"/>
        </w:rPr>
      </w:pPr>
      <w:r w:rsidRPr="00ED3367">
        <w:rPr>
          <w:rFonts w:asciiTheme="majorHAnsi" w:hAnsiTheme="majorHAnsi" w:cstheme="majorHAnsi"/>
          <w:sz w:val="18"/>
          <w:szCs w:val="18"/>
          <w:vertAlign w:val="superscript"/>
        </w:rPr>
        <w:footnoteRef/>
      </w:r>
      <w:r w:rsidRPr="00ED3367">
        <w:rPr>
          <w:rFonts w:asciiTheme="majorHAnsi" w:hAnsiTheme="majorHAnsi" w:cstheme="majorHAnsi"/>
          <w:sz w:val="18"/>
          <w:szCs w:val="18"/>
          <w:lang w:val="en-IE"/>
        </w:rPr>
        <w:t xml:space="preserve"> United Nations Convention on the Law of the Sea (UNCLOS); United Nations Fish Stock Agreement (UNFSA); FAO Compliance Agreement (CA); FAO Agreement on Port State Measures (PSMA); United Nations Convention against Transnational Organized Crime and the Protocols Thereto (UNTOC); ILO Work in Fishing Convention No.188 (ILO C188); International Convention on Standards of Training, Certification and Watchkeeping for Fishing Vessel Personnel, 1995 (STCW-F 1995); Cape Town Agreement on the Implementation of the Provisions of the 1993 Protocol relating to the Torremolinos International Convention for the Safety of Fishing Vessels; and Paris Agreement.</w:t>
      </w:r>
    </w:p>
  </w:footnote>
  <w:footnote w:id="95">
    <w:p w14:paraId="1F9BC5E4" w14:textId="7C819869" w:rsidR="001F330E" w:rsidRPr="00ED3367" w:rsidRDefault="001F330E" w:rsidP="0091582D">
      <w:pPr>
        <w:spacing w:after="0"/>
        <w:rPr>
          <w:rFonts w:asciiTheme="majorHAnsi" w:hAnsiTheme="majorHAnsi" w:cstheme="majorHAnsi"/>
          <w:sz w:val="18"/>
          <w:szCs w:val="18"/>
          <w:lang w:val="en-IE"/>
        </w:rPr>
      </w:pPr>
      <w:r w:rsidRPr="00ED3367">
        <w:rPr>
          <w:rFonts w:asciiTheme="majorHAnsi" w:hAnsiTheme="majorHAnsi" w:cstheme="majorHAnsi"/>
          <w:sz w:val="18"/>
          <w:szCs w:val="18"/>
          <w:vertAlign w:val="superscript"/>
        </w:rPr>
        <w:footnoteRef/>
      </w:r>
      <w:r w:rsidRPr="00ED3367">
        <w:rPr>
          <w:rFonts w:asciiTheme="majorHAnsi" w:hAnsiTheme="majorHAnsi" w:cstheme="majorHAnsi"/>
          <w:sz w:val="18"/>
          <w:szCs w:val="18"/>
          <w:lang w:val="en-IE"/>
        </w:rPr>
        <w:t xml:space="preserve"> Vid the following page of the World Bank: </w:t>
      </w:r>
      <w:r w:rsidR="009F4E34">
        <w:fldChar w:fldCharType="begin"/>
      </w:r>
      <w:r w:rsidR="009F4E34" w:rsidRPr="004B3125">
        <w:rPr>
          <w:lang w:val="en-GB"/>
        </w:rPr>
        <w:instrText xml:space="preserve"> HYPERLINK "https://datatopics.worldbank.org/world-development-indicators/the-world-by-income-and-region.html" </w:instrText>
      </w:r>
      <w:r w:rsidR="009F4E34">
        <w:fldChar w:fldCharType="separate"/>
      </w:r>
      <w:r w:rsidRPr="00ED3367">
        <w:rPr>
          <w:rStyle w:val="Hyperlink"/>
          <w:rFonts w:asciiTheme="majorHAnsi" w:hAnsiTheme="majorHAnsi" w:cstheme="majorHAnsi"/>
          <w:sz w:val="18"/>
          <w:szCs w:val="18"/>
          <w:lang w:val="en-IE"/>
        </w:rPr>
        <w:t>https://datatopics.worldbank.org/world-development-indicators/the-world-by-income-and-region.html</w:t>
      </w:r>
      <w:r w:rsidR="009F4E34">
        <w:rPr>
          <w:rStyle w:val="Hyperlink"/>
          <w:rFonts w:asciiTheme="majorHAnsi" w:hAnsiTheme="majorHAnsi" w:cstheme="majorHAnsi"/>
          <w:sz w:val="18"/>
          <w:szCs w:val="18"/>
          <w:lang w:val="en-IE"/>
        </w:rPr>
        <w:fldChar w:fldCharType="end"/>
      </w:r>
      <w:r w:rsidRPr="00ED3367">
        <w:rPr>
          <w:rFonts w:asciiTheme="majorHAnsi" w:hAnsiTheme="majorHAnsi" w:cstheme="majorHAnsi"/>
          <w:sz w:val="18"/>
          <w:szCs w:val="18"/>
          <w:lang w:val="en-IE"/>
        </w:rPr>
        <w:t xml:space="preserve"> </w:t>
      </w:r>
    </w:p>
  </w:footnote>
  <w:footnote w:id="96">
    <w:p w14:paraId="36037107" w14:textId="77777777" w:rsidR="001F330E" w:rsidRPr="00ED3367" w:rsidRDefault="001F330E" w:rsidP="0091582D">
      <w:pPr>
        <w:spacing w:after="0"/>
        <w:rPr>
          <w:rFonts w:asciiTheme="majorHAnsi" w:hAnsiTheme="majorHAnsi" w:cstheme="majorHAnsi"/>
          <w:sz w:val="18"/>
          <w:szCs w:val="18"/>
          <w:lang w:val="en-IE"/>
        </w:rPr>
      </w:pPr>
      <w:r w:rsidRPr="00ED3367">
        <w:rPr>
          <w:rFonts w:asciiTheme="majorHAnsi" w:hAnsiTheme="majorHAnsi" w:cstheme="majorHAnsi"/>
          <w:sz w:val="18"/>
          <w:szCs w:val="18"/>
          <w:vertAlign w:val="superscript"/>
        </w:rPr>
        <w:footnoteRef/>
      </w:r>
      <w:r w:rsidRPr="00ED3367">
        <w:rPr>
          <w:rFonts w:asciiTheme="majorHAnsi" w:hAnsiTheme="majorHAnsi" w:cstheme="majorHAnsi"/>
          <w:sz w:val="18"/>
          <w:szCs w:val="18"/>
          <w:lang w:val="en-IE"/>
        </w:rPr>
        <w:t xml:space="preserve"> Repealed by Council Regulation (EU) 2020/1706 of 13 November 2020.</w:t>
      </w:r>
    </w:p>
  </w:footnote>
  <w:footnote w:id="97">
    <w:p w14:paraId="3D13F209" w14:textId="465B4A55" w:rsidR="001F330E" w:rsidRPr="00ED3367" w:rsidRDefault="001F330E" w:rsidP="0091582D">
      <w:pPr>
        <w:spacing w:after="0"/>
        <w:rPr>
          <w:rFonts w:asciiTheme="majorHAnsi" w:hAnsiTheme="majorHAnsi" w:cstheme="majorHAnsi"/>
          <w:sz w:val="18"/>
          <w:szCs w:val="18"/>
          <w:lang w:val="en-IE"/>
        </w:rPr>
      </w:pPr>
      <w:r w:rsidRPr="00ED3367">
        <w:rPr>
          <w:rFonts w:asciiTheme="majorHAnsi" w:hAnsiTheme="majorHAnsi" w:cstheme="majorHAnsi"/>
          <w:sz w:val="18"/>
          <w:szCs w:val="18"/>
          <w:vertAlign w:val="superscript"/>
        </w:rPr>
        <w:footnoteRef/>
      </w:r>
      <w:r w:rsidRPr="00ED3367">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"https://www.ldac.eu/images/EN_LDAC_Opinion_on_ATQ_for_Tuna_Loins_2021-2023_R.10.20.WG1.pdf" </w:instrText>
      </w:r>
      <w:r w:rsidR="009F4E34">
        <w:fldChar w:fldCharType="separate"/>
      </w:r>
      <w:r w:rsidRPr="00ED3367">
        <w:rPr>
          <w:rStyle w:val="Hyperlink"/>
          <w:rFonts w:asciiTheme="majorHAnsi" w:hAnsiTheme="majorHAnsi" w:cstheme="majorHAnsi"/>
          <w:sz w:val="18"/>
          <w:szCs w:val="18"/>
          <w:lang w:val="en-IE"/>
        </w:rPr>
        <w:t>https://www.ldac.eu/images/EN_LDAC_Opinion_on_ATQ_for_Tuna_Loins_2021-2023_R.10.20.WG1.pdf</w:t>
      </w:r>
      <w:r w:rsidR="009F4E34">
        <w:rPr>
          <w:rStyle w:val="Hyperlink"/>
          <w:rFonts w:asciiTheme="majorHAnsi" w:hAnsiTheme="majorHAnsi" w:cstheme="majorHAnsi"/>
          <w:sz w:val="18"/>
          <w:szCs w:val="18"/>
          <w:lang w:val="en-IE"/>
        </w:rPr>
        <w:fldChar w:fldCharType="end"/>
      </w:r>
      <w:r w:rsidRPr="00ED3367">
        <w:rPr>
          <w:rFonts w:asciiTheme="majorHAnsi" w:hAnsiTheme="majorHAnsi" w:cstheme="majorHAnsi"/>
          <w:sz w:val="18"/>
          <w:szCs w:val="18"/>
          <w:lang w:val="en-IE"/>
        </w:rPr>
        <w:t xml:space="preserve"> </w:t>
      </w:r>
    </w:p>
  </w:footnote>
  <w:footnote w:id="98">
    <w:p w14:paraId="41390A9A" w14:textId="77777777" w:rsidR="001F330E" w:rsidRPr="00ED3367" w:rsidRDefault="001F330E" w:rsidP="00CA7765">
      <w:pPr>
        <w:spacing w:after="0"/>
        <w:jc w:val="left"/>
        <w:rPr>
          <w:rFonts w:asciiTheme="majorHAnsi" w:hAnsiTheme="majorHAnsi" w:cstheme="majorHAnsi"/>
          <w:sz w:val="18"/>
          <w:szCs w:val="18"/>
          <w:vertAlign w:val="superscript"/>
          <w:lang w:val="en-IE"/>
        </w:rPr>
      </w:pPr>
      <w:r w:rsidRPr="00ED3367">
        <w:rPr>
          <w:rFonts w:asciiTheme="majorHAnsi" w:hAnsiTheme="majorHAnsi" w:cstheme="majorHAnsi"/>
          <w:sz w:val="18"/>
          <w:szCs w:val="18"/>
          <w:vertAlign w:val="superscript"/>
        </w:rPr>
        <w:footnoteRef/>
      </w:r>
      <w:r w:rsidRPr="00ED3367">
        <w:rPr>
          <w:rFonts w:asciiTheme="majorHAnsi" w:hAnsiTheme="majorHAnsi" w:cstheme="majorHAnsi"/>
          <w:sz w:val="18"/>
          <w:szCs w:val="18"/>
          <w:vertAlign w:val="superscript"/>
          <w:lang w:val="en-IE"/>
        </w:rPr>
        <w:t xml:space="preserve"> </w:t>
      </w:r>
      <w:r w:rsidRPr="007D09E0">
        <w:rPr>
          <w:rStyle w:val="Hyperlink"/>
          <w:rFonts w:asciiTheme="majorHAnsi" w:hAnsiTheme="majorHAnsi" w:cstheme="majorHAnsi"/>
          <w:sz w:val="18"/>
          <w:szCs w:val="18"/>
          <w:lang w:val="en-IE"/>
        </w:rPr>
        <w:t>https://www.eca.europa.eu/en/Pages/DocItem.aspx?did=44169</w:t>
      </w:r>
      <w:r w:rsidR="009F4E34">
        <w:fldChar w:fldCharType="begin"/>
      </w:r>
      <w:r w:rsidR="009F4E34" w:rsidRPr="004B3125">
        <w:rPr>
          <w:lang w:val="en-IE"/>
        </w:rPr>
        <w:instrText xml:space="preserve"> HYPERLINK "https://www.eca.europa.eu/en/Pages/DocItem.aspx?did=44169" \h </w:instrText>
      </w:r>
      <w:r w:rsidR="009F4E34">
        <w:fldChar w:fldCharType="separate"/>
      </w:r>
      <w:r w:rsidRPr="007D09E0">
        <w:rPr>
          <w:rStyle w:val="Hyperlink"/>
          <w:lang w:val="en-IE"/>
        </w:rPr>
        <w:t xml:space="preserve"> </w:t>
      </w:r>
      <w:r w:rsidR="009F4E34">
        <w:rPr>
          <w:rStyle w:val="Hyperlink"/>
          <w:lang w:val="en-IE"/>
        </w:rPr>
        <w:fldChar w:fldCharType="end"/>
      </w:r>
    </w:p>
  </w:footnote>
  <w:footnote w:id="99">
    <w:p w14:paraId="44588CCA" w14:textId="77777777" w:rsidR="001F330E" w:rsidRPr="00ED3367" w:rsidRDefault="001F330E" w:rsidP="00CA7765">
      <w:pPr>
        <w:spacing w:after="0"/>
        <w:jc w:val="left"/>
        <w:rPr>
          <w:rFonts w:asciiTheme="majorHAnsi" w:hAnsiTheme="majorHAnsi" w:cstheme="majorHAnsi"/>
          <w:sz w:val="18"/>
          <w:szCs w:val="18"/>
          <w:lang w:val="en-IE"/>
        </w:rPr>
      </w:pPr>
      <w:r w:rsidRPr="00ED3367">
        <w:rPr>
          <w:rFonts w:asciiTheme="majorHAnsi" w:hAnsiTheme="majorHAnsi" w:cstheme="majorHAnsi"/>
          <w:sz w:val="18"/>
          <w:szCs w:val="18"/>
          <w:vertAlign w:val="superscript"/>
        </w:rPr>
        <w:footnoteRef/>
      </w:r>
      <w:r w:rsidRPr="00ED3367">
        <w:rPr>
          <w:rFonts w:asciiTheme="majorHAnsi" w:hAnsiTheme="majorHAnsi" w:cstheme="majorHAnsi"/>
          <w:sz w:val="18"/>
          <w:szCs w:val="18"/>
          <w:lang w:val="en-IE"/>
        </w:rPr>
        <w:t xml:space="preserve"> ILO (2016), Fishers First. Good practices to end labour exploitation at sea, International Labour Office, Fundamental Principles and Rights at Work Branch (FUNDAMENTALS), Sectoral Policies Department (SECTOR) - Geneva: ILO, p. 12 </w:t>
      </w:r>
    </w:p>
  </w:footnote>
  <w:footnote w:id="100">
    <w:p w14:paraId="4B0F806C" w14:textId="4C54F020" w:rsidR="001F330E" w:rsidRPr="007D09E0" w:rsidRDefault="001F330E" w:rsidP="00E24ABA">
      <w:pPr>
        <w:pStyle w:val="FootnoteText"/>
        <w:jc w:val="left"/>
        <w:rPr>
          <w:rFonts w:asciiTheme="majorHAnsi" w:hAnsiTheme="majorHAnsi" w:cstheme="majorHAnsi"/>
          <w:sz w:val="18"/>
          <w:szCs w:val="18"/>
          <w:lang w:val="en-GB"/>
        </w:rPr>
      </w:pPr>
      <w:r w:rsidRPr="007D09E0">
        <w:rPr>
          <w:rStyle w:val="FootnoteReference"/>
          <w:rFonts w:asciiTheme="majorHAnsi" w:hAnsiTheme="majorHAnsi" w:cstheme="majorHAnsi"/>
          <w:sz w:val="18"/>
          <w:szCs w:val="18"/>
        </w:rPr>
        <w:footnoteRef/>
      </w:r>
      <w:r w:rsidRPr="007D09E0">
        <w:rPr>
          <w:rFonts w:asciiTheme="majorHAnsi" w:hAnsiTheme="majorHAnsi" w:cstheme="majorHAnsi"/>
          <w:sz w:val="18"/>
          <w:szCs w:val="18"/>
          <w:lang w:val="en-GB"/>
        </w:rPr>
        <w:t xml:space="preserve"> Vid. Point 2.1,</w:t>
      </w:r>
      <w:r w:rsidRPr="007D09E0">
        <w:rPr>
          <w:rFonts w:asciiTheme="majorHAnsi" w:hAnsiTheme="majorHAnsi" w:cstheme="majorHAnsi"/>
          <w:color w:val="222222"/>
          <w:sz w:val="18"/>
          <w:szCs w:val="18"/>
          <w:shd w:val="clear" w:color="auto" w:fill="FFFFFF"/>
          <w:lang w:val="en-GB"/>
        </w:rPr>
        <w:t xml:space="preserve"> The EU Fish Market 2020 edition, </w:t>
      </w:r>
      <w:r w:rsidR="009F4E34">
        <w:fldChar w:fldCharType="begin"/>
      </w:r>
      <w:r w:rsidR="009F4E34" w:rsidRPr="004B3125">
        <w:rPr>
          <w:lang w:val="en-GB"/>
        </w:rPr>
        <w:instrText xml:space="preserve"> HYPERLINK "https://www.eumofa.eu/documents/20178/415635/EN_The+EU+fish+market_2020.pdf/fe6285bb-5446-ac1a-e213-6fd6f64d0d85?t=1604671147068" </w:instrText>
      </w:r>
      <w:r w:rsidR="009F4E34">
        <w:fldChar w:fldCharType="separate"/>
      </w:r>
      <w:r w:rsidRPr="007D09E0">
        <w:rPr>
          <w:rStyle w:val="Hyperlink"/>
          <w:rFonts w:asciiTheme="majorHAnsi" w:hAnsiTheme="majorHAnsi" w:cstheme="majorHAnsi"/>
          <w:sz w:val="18"/>
          <w:szCs w:val="18"/>
          <w:shd w:val="clear" w:color="auto" w:fill="FFFFFF"/>
          <w:lang w:val="en-GB"/>
        </w:rPr>
        <w:t>https://www.eumofa.eu/documents/20178/415635/EN_The+EU+fish+market_2020.pdf/fe6285bb-5446-ac1a-e213-6fd6f64d0d85?t=1604671147068</w:t>
      </w:r>
      <w:r w:rsidR="009F4E34">
        <w:rPr>
          <w:rStyle w:val="Hyperlink"/>
          <w:rFonts w:asciiTheme="majorHAnsi" w:hAnsiTheme="majorHAnsi" w:cstheme="majorHAnsi"/>
          <w:sz w:val="18"/>
          <w:szCs w:val="18"/>
          <w:shd w:val="clear" w:color="auto" w:fill="FFFFFF"/>
          <w:lang w:val="en-GB"/>
        </w:rPr>
        <w:fldChar w:fldCharType="end"/>
      </w:r>
      <w:r w:rsidRPr="007D09E0">
        <w:rPr>
          <w:rFonts w:asciiTheme="majorHAnsi" w:hAnsiTheme="majorHAnsi" w:cstheme="majorHAnsi"/>
          <w:color w:val="222222"/>
          <w:sz w:val="18"/>
          <w:szCs w:val="18"/>
          <w:shd w:val="clear" w:color="auto" w:fill="FFFFFF"/>
          <w:lang w:val="en-GB"/>
        </w:rPr>
        <w:t xml:space="preserve"> </w:t>
      </w:r>
    </w:p>
  </w:footnote>
  <w:footnote w:id="101">
    <w:p w14:paraId="285FA58B" w14:textId="4C706AD4" w:rsidR="001F330E" w:rsidRPr="00ED3367" w:rsidRDefault="001F330E" w:rsidP="003C230C">
      <w:pPr>
        <w:pStyle w:val="FootnoteText"/>
        <w:rPr>
          <w:rFonts w:asciiTheme="majorHAnsi" w:hAnsiTheme="majorHAnsi" w:cstheme="majorHAnsi"/>
          <w:sz w:val="18"/>
          <w:szCs w:val="18"/>
          <w:lang w:val="en-GB"/>
        </w:rPr>
      </w:pPr>
      <w:r w:rsidRPr="00ED3367">
        <w:rPr>
          <w:rStyle w:val="FootnoteReference"/>
          <w:rFonts w:asciiTheme="majorHAnsi" w:hAnsiTheme="majorHAnsi" w:cstheme="majorHAnsi"/>
          <w:sz w:val="18"/>
          <w:szCs w:val="18"/>
          <w:lang w:val="en-GB"/>
        </w:rPr>
        <w:footnoteRef/>
      </w:r>
      <w:r w:rsidRPr="00ED3367">
        <w:rPr>
          <w:rFonts w:asciiTheme="majorHAnsi" w:hAnsiTheme="majorHAnsi" w:cstheme="majorHAnsi"/>
          <w:sz w:val="18"/>
          <w:szCs w:val="18"/>
          <w:lang w:val="en-GB"/>
        </w:rPr>
        <w:t xml:space="preserve"> </w:t>
      </w:r>
      <w:r w:rsidRPr="00ED3367">
        <w:rPr>
          <w:rFonts w:asciiTheme="majorHAnsi" w:hAnsiTheme="majorHAnsi" w:cstheme="majorHAnsi"/>
          <w:b/>
          <w:bCs/>
          <w:sz w:val="18"/>
          <w:szCs w:val="18"/>
          <w:lang w:val="en-GB"/>
        </w:rPr>
        <w:t>Annex III</w:t>
      </w:r>
      <w:r w:rsidRPr="00ED3367">
        <w:rPr>
          <w:rFonts w:asciiTheme="majorHAnsi" w:hAnsiTheme="majorHAnsi" w:cstheme="majorHAnsi"/>
          <w:sz w:val="18"/>
          <w:szCs w:val="18"/>
          <w:lang w:val="en-GB"/>
        </w:rPr>
        <w:t xml:space="preserve"> presents a case study on labour abuses and human rights violations in Vietnam, a third country that has signed a trade agreement with the EU.</w:t>
      </w:r>
    </w:p>
  </w:footnote>
  <w:footnote w:id="102">
    <w:p w14:paraId="141DE8DE" w14:textId="77777777" w:rsidR="001F330E" w:rsidRPr="00ED3367" w:rsidRDefault="001F330E" w:rsidP="003C230C">
      <w:pPr>
        <w:spacing w:after="0"/>
        <w:rPr>
          <w:rFonts w:asciiTheme="majorHAnsi" w:hAnsiTheme="majorHAnsi" w:cstheme="majorHAnsi"/>
          <w:sz w:val="18"/>
          <w:szCs w:val="18"/>
          <w:vertAlign w:val="superscript"/>
          <w:lang w:val="en-IE"/>
        </w:rPr>
      </w:pPr>
      <w:r w:rsidRPr="00ED3367">
        <w:rPr>
          <w:rFonts w:asciiTheme="majorHAnsi" w:hAnsiTheme="majorHAnsi" w:cstheme="majorHAnsi"/>
          <w:sz w:val="18"/>
          <w:szCs w:val="18"/>
          <w:vertAlign w:val="superscript"/>
          <w:lang w:val="en-GB"/>
        </w:rPr>
        <w:footnoteRef/>
      </w:r>
      <w:r w:rsidRPr="00ED3367">
        <w:rPr>
          <w:rFonts w:asciiTheme="majorHAnsi" w:hAnsiTheme="majorHAnsi" w:cstheme="majorHAnsi"/>
          <w:sz w:val="18"/>
          <w:szCs w:val="18"/>
          <w:lang w:val="en-GB"/>
        </w:rPr>
        <w:t xml:space="preserve"> ILO (2016), Fishers First. Good practices to end labour exploitation at sea, International Labour Office, Fundamental Principles and Rights at Work Branch (FUNDAMENTALS), Sectoral Policies Department (SECTOR) - Geneva: ILO, p. 12</w:t>
      </w:r>
    </w:p>
  </w:footnote>
  <w:footnote w:id="103">
    <w:p w14:paraId="5A7B4B10" w14:textId="77777777" w:rsidR="001F330E" w:rsidRPr="0021486C" w:rsidRDefault="001F330E" w:rsidP="003C230C">
      <w:pPr>
        <w:spacing w:after="0"/>
        <w:jc w:val="left"/>
        <w:rPr>
          <w:rFonts w:asciiTheme="majorHAnsi" w:hAnsiTheme="majorHAnsi" w:cstheme="majorHAnsi"/>
          <w:sz w:val="18"/>
          <w:szCs w:val="18"/>
          <w:lang w:val="en-IE"/>
        </w:rPr>
      </w:pPr>
      <w:r w:rsidRPr="0021486C">
        <w:rPr>
          <w:rFonts w:asciiTheme="majorHAnsi" w:hAnsiTheme="majorHAnsi" w:cstheme="majorHAnsi"/>
          <w:sz w:val="18"/>
          <w:szCs w:val="18"/>
          <w:vertAlign w:val="superscript"/>
        </w:rPr>
        <w:footnoteRef/>
      </w:r>
      <w:r w:rsidRPr="0021486C">
        <w:rPr>
          <w:rFonts w:asciiTheme="majorHAnsi" w:hAnsiTheme="majorHAnsi" w:cstheme="majorHAnsi"/>
          <w:sz w:val="18"/>
          <w:szCs w:val="18"/>
          <w:lang w:val="en-IE"/>
        </w:rPr>
        <w:t xml:space="preserve"> Council Directive 92/29/EEC of 31 March 1992 on the minimum safety and health requirements for improved medical treatment on board vessels, DO L 113, 30.4.1992, </w:t>
      </w:r>
      <w:r w:rsidR="009F4E34">
        <w:fldChar w:fldCharType="begin"/>
      </w:r>
      <w:r w:rsidR="009F4E34" w:rsidRPr="004B3125">
        <w:rPr>
          <w:lang w:val="en-GB"/>
        </w:rPr>
        <w:instrText xml:space="preserve"> HYPERLINK "https://ldac.eu/images/Directive_92_29_safety_and_health_on_board.pdf" \h </w:instrText>
      </w:r>
      <w:r w:rsidR="009F4E34">
        <w:fldChar w:fldCharType="separate"/>
      </w:r>
      <w:r w:rsidRPr="0022385C">
        <w:rPr>
          <w:rStyle w:val="Hyperlink"/>
          <w:sz w:val="18"/>
          <w:szCs w:val="18"/>
          <w:lang w:val="en-GB"/>
        </w:rPr>
        <w:t>https://ldac.eu/images/Directive_92_29_safety_and_health_on_board.pdf</w:t>
      </w:r>
      <w:r w:rsidR="009F4E34">
        <w:rPr>
          <w:rStyle w:val="Hyperlink"/>
          <w:sz w:val="18"/>
          <w:szCs w:val="18"/>
          <w:lang w:val="en-GB"/>
        </w:rPr>
        <w:fldChar w:fldCharType="end"/>
      </w:r>
    </w:p>
  </w:footnote>
  <w:footnote w:id="104">
    <w:p w14:paraId="46FB8A6A" w14:textId="77777777" w:rsidR="001F330E" w:rsidRPr="0021486C" w:rsidRDefault="001F330E" w:rsidP="003C230C">
      <w:pPr>
        <w:spacing w:after="0"/>
        <w:rPr>
          <w:rFonts w:asciiTheme="majorHAnsi" w:hAnsiTheme="majorHAnsi" w:cstheme="majorHAnsi"/>
          <w:sz w:val="18"/>
          <w:szCs w:val="18"/>
          <w:lang w:val="en-IE"/>
        </w:rPr>
      </w:pPr>
      <w:r w:rsidRPr="0021486C">
        <w:rPr>
          <w:rFonts w:asciiTheme="majorHAnsi" w:hAnsiTheme="majorHAnsi" w:cstheme="majorHAnsi"/>
          <w:sz w:val="18"/>
          <w:szCs w:val="18"/>
          <w:vertAlign w:val="superscript"/>
        </w:rPr>
        <w:footnoteRef/>
      </w:r>
      <w:r w:rsidRPr="0021486C">
        <w:rPr>
          <w:rFonts w:asciiTheme="majorHAnsi" w:hAnsiTheme="majorHAnsi" w:cstheme="majorHAnsi"/>
          <w:sz w:val="18"/>
          <w:szCs w:val="18"/>
          <w:lang w:val="en-IE"/>
        </w:rPr>
        <w:t xml:space="preserve"> COUNCIL DIRECTIVE (EU) 2017/159 of 19 December 2016 implementing the Agreement concerning the implementation of the Work in Fishing Convention, 2007 of the International Labour Organisation, concluded on 21 May 2012 between the General Confederation of Agricultural Cooperatives in the European Union (Cogeca), the European Transport Workers' Federation (ETF) and the Association of National Organisations of Fishing Enterprises in the European Union (Europêche), OJEU L25/12, 31.1.2017</w:t>
      </w:r>
    </w:p>
    <w:p w14:paraId="3AF9EA09" w14:textId="77777777" w:rsidR="001F330E" w:rsidRPr="00ED3367" w:rsidRDefault="009F4E34" w:rsidP="003C230C">
      <w:pPr>
        <w:rPr>
          <w:rFonts w:asciiTheme="majorHAnsi" w:hAnsiTheme="majorHAnsi" w:cstheme="majorHAnsi"/>
          <w:sz w:val="18"/>
          <w:szCs w:val="18"/>
          <w:lang w:val="en-IE"/>
        </w:rPr>
      </w:pPr>
      <w:r>
        <w:fldChar w:fldCharType="begin"/>
      </w:r>
      <w:r w:rsidRPr="004B3125">
        <w:rPr>
          <w:lang w:val="en-IE"/>
        </w:rPr>
        <w:instrText xml:space="preserve"> HYPERLINK "https://ldac.eu/images/EN_Council_Directive_EU_2017_159_Implementation_Agreement_Work_Fishing_Convention.pdf" \h </w:instrText>
      </w:r>
      <w:r>
        <w:fldChar w:fldCharType="separate"/>
      </w:r>
      <w:r w:rsidR="001F330E" w:rsidRPr="0022385C">
        <w:rPr>
          <w:rStyle w:val="Hyperlink"/>
          <w:sz w:val="18"/>
          <w:szCs w:val="18"/>
          <w:lang w:val="en-IE"/>
        </w:rPr>
        <w:t>https://ldac.eu/images/EN_Council_Directive_EU_2017_159_Implementation_Agreement_Work_Fishing_Convention.pdf</w:t>
      </w:r>
      <w:r>
        <w:rPr>
          <w:rStyle w:val="Hyperlink"/>
          <w:sz w:val="18"/>
          <w:szCs w:val="18"/>
          <w:lang w:val="en-IE"/>
        </w:rPr>
        <w:fldChar w:fldCharType="end"/>
      </w:r>
      <w:r w:rsidR="001F330E" w:rsidRPr="00ED3367">
        <w:rPr>
          <w:rFonts w:asciiTheme="majorHAnsi" w:hAnsiTheme="majorHAnsi" w:cstheme="majorHAnsi"/>
          <w:sz w:val="18"/>
          <w:szCs w:val="18"/>
          <w:lang w:val="en-IE"/>
        </w:rPr>
        <w:t xml:space="preserve"> </w:t>
      </w:r>
    </w:p>
  </w:footnote>
  <w:footnote w:id="105">
    <w:p w14:paraId="471926A0" w14:textId="1C831295" w:rsidR="0022385C" w:rsidRDefault="00FF5385">
      <w:pPr>
        <w:pStyle w:val="FootnoteText"/>
        <w:rPr>
          <w:lang w:val="en-IE"/>
        </w:rPr>
      </w:pPr>
      <w:r>
        <w:rPr>
          <w:rStyle w:val="FootnoteReference"/>
        </w:rPr>
        <w:footnoteRef/>
      </w:r>
      <w:r w:rsidR="0022385C">
        <w:rPr>
          <w:lang w:val="en-IE"/>
        </w:rPr>
        <w:t xml:space="preserve"> </w:t>
      </w:r>
      <w:r w:rsidR="0022385C" w:rsidRPr="0022385C">
        <w:rPr>
          <w:rFonts w:asciiTheme="majorHAnsi" w:hAnsiTheme="majorHAnsi" w:cstheme="majorHAnsi"/>
          <w:sz w:val="18"/>
          <w:szCs w:val="18"/>
          <w:lang w:val="en-IE"/>
        </w:rPr>
        <w:t>MAC advice</w:t>
      </w:r>
      <w:r w:rsidR="0022385C">
        <w:rPr>
          <w:rFonts w:asciiTheme="majorHAnsi" w:hAnsiTheme="majorHAnsi" w:cstheme="majorHAnsi"/>
          <w:sz w:val="18"/>
          <w:szCs w:val="18"/>
          <w:lang w:val="en-IE"/>
        </w:rPr>
        <w:t xml:space="preserve"> on LFP (July 2019) – page 3:</w:t>
      </w:r>
      <w:r w:rsidR="0022385C">
        <w:rPr>
          <w:lang w:val="en-IE"/>
        </w:rPr>
        <w:t xml:space="preserve"> </w:t>
      </w:r>
      <w:r w:rsidRPr="0022385C">
        <w:rPr>
          <w:lang w:val="en-IE"/>
        </w:rPr>
        <w:t xml:space="preserve"> </w:t>
      </w:r>
    </w:p>
    <w:p w14:paraId="46FB2327" w14:textId="65634465" w:rsidR="00FF5385" w:rsidRPr="0022385C" w:rsidRDefault="009F4E34">
      <w:pPr>
        <w:pStyle w:val="FootnoteText"/>
        <w:rPr>
          <w:lang w:val="en-IE"/>
        </w:rPr>
      </w:pPr>
      <w:r>
        <w:fldChar w:fldCharType="begin"/>
      </w:r>
      <w:r w:rsidRPr="004B3125">
        <w:rPr>
          <w:lang w:val="en-IE"/>
        </w:rPr>
        <w:instrText xml:space="preserve"> HYPERLINK "https://marketac.eu/wp-content/uploads/2019/07/MAC-Advice-Marketing-Standards-PROCESSED-12.07.2019.pdf" </w:instrText>
      </w:r>
      <w:r>
        <w:fldChar w:fldCharType="separate"/>
      </w:r>
      <w:r w:rsidR="0022385C" w:rsidRPr="00FD6353">
        <w:rPr>
          <w:rStyle w:val="Hyperlink"/>
          <w:sz w:val="18"/>
          <w:szCs w:val="18"/>
          <w:lang w:val="en-GB"/>
        </w:rPr>
        <w:t>https://marketac.eu/wp-content/uploads/2019/07/MAC-Advice-Marketing-Standards-PROCESSED-12.07.2019.pdf</w:t>
      </w:r>
      <w:r>
        <w:rPr>
          <w:rStyle w:val="Hyperlink"/>
          <w:sz w:val="18"/>
          <w:szCs w:val="18"/>
          <w:lang w:val="en-GB"/>
        </w:rPr>
        <w:fldChar w:fldCharType="end"/>
      </w:r>
      <w:r w:rsidR="00FF5385">
        <w:rPr>
          <w:lang w:val="en-IE"/>
        </w:rPr>
        <w:t xml:space="preserve"> </w:t>
      </w:r>
    </w:p>
  </w:footnote>
  <w:footnote w:id="106">
    <w:p w14:paraId="249FFAF9" w14:textId="77777777" w:rsidR="001F330E" w:rsidRPr="007D09E0" w:rsidRDefault="001F330E" w:rsidP="0022385C">
      <w:pPr>
        <w:spacing w:after="0"/>
        <w:jc w:val="left"/>
        <w:rPr>
          <w:rStyle w:val="Hyperlink"/>
          <w:rFonts w:asciiTheme="majorHAnsi" w:hAnsiTheme="majorHAnsi" w:cstheme="majorHAnsi"/>
          <w:sz w:val="18"/>
          <w:szCs w:val="18"/>
          <w:lang w:val="en-IE"/>
        </w:rPr>
      </w:pPr>
      <w:r w:rsidRPr="00A23A47">
        <w:rPr>
          <w:rFonts w:asciiTheme="majorHAnsi" w:hAnsiTheme="majorHAnsi" w:cstheme="majorHAnsi"/>
          <w:sz w:val="18"/>
          <w:szCs w:val="18"/>
          <w:vertAlign w:val="superscript"/>
        </w:rPr>
        <w:footnoteRef/>
      </w:r>
      <w:r w:rsidRPr="00A23A47">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"https://www.odi.org/publications/16958-china-s-distant-water-fishing-fleet-scale-impact-and-governance" \h </w:instrText>
      </w:r>
      <w:r w:rsidR="009F4E34">
        <w:fldChar w:fldCharType="separate"/>
      </w:r>
      <w:r w:rsidRPr="007D09E0">
        <w:rPr>
          <w:rStyle w:val="Hyperlink"/>
          <w:sz w:val="18"/>
          <w:szCs w:val="18"/>
          <w:lang w:val="en-IE"/>
        </w:rPr>
        <w:t>https://www.odi.org/publications/16958-china-s-distant-water-fishing-fleet-scale-impact-and-governance</w:t>
      </w:r>
      <w:r w:rsidR="009F4E34">
        <w:rPr>
          <w:rStyle w:val="Hyperlink"/>
          <w:sz w:val="18"/>
          <w:szCs w:val="18"/>
          <w:lang w:val="en-IE"/>
        </w:rPr>
        <w:fldChar w:fldCharType="end"/>
      </w:r>
      <w:r w:rsidRPr="007D09E0">
        <w:rPr>
          <w:rStyle w:val="Hyperlink"/>
          <w:rFonts w:asciiTheme="majorHAnsi" w:hAnsiTheme="majorHAnsi" w:cstheme="majorHAnsi"/>
          <w:sz w:val="18"/>
          <w:szCs w:val="18"/>
          <w:lang w:val="en-IE"/>
        </w:rPr>
        <w:t xml:space="preserve"> </w:t>
      </w:r>
    </w:p>
  </w:footnote>
  <w:footnote w:id="107">
    <w:p w14:paraId="286BE1EC" w14:textId="77777777" w:rsidR="001F330E" w:rsidRPr="00A23A47" w:rsidRDefault="001F330E" w:rsidP="0022385C">
      <w:pPr>
        <w:spacing w:after="0"/>
        <w:jc w:val="left"/>
        <w:rPr>
          <w:rFonts w:asciiTheme="majorHAnsi" w:hAnsiTheme="majorHAnsi" w:cstheme="majorHAnsi"/>
          <w:sz w:val="18"/>
          <w:szCs w:val="18"/>
          <w:lang w:val="en-IE"/>
        </w:rPr>
      </w:pPr>
      <w:r w:rsidRPr="00A23A47">
        <w:rPr>
          <w:rFonts w:asciiTheme="majorHAnsi" w:hAnsiTheme="majorHAnsi" w:cstheme="majorHAnsi"/>
          <w:sz w:val="18"/>
          <w:szCs w:val="18"/>
          <w:vertAlign w:val="superscript"/>
        </w:rPr>
        <w:footnoteRef/>
      </w:r>
      <w:r w:rsidRPr="00A23A47">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"https://www.etf-</w:instrText>
      </w:r>
      <w:r w:rsidR="009F4E34" w:rsidRPr="004B3125">
        <w:rPr>
          <w:lang w:val="en-IE"/>
        </w:rPr>
        <w:instrText xml:space="preserve">europe.org/wp-content/uploads/2020/11/SSDC-Resolution-human-rights-and-labour-abuses-in-certain-Asian-fishing-fleets.pdf" \h </w:instrText>
      </w:r>
      <w:r w:rsidR="009F4E34">
        <w:fldChar w:fldCharType="separate"/>
      </w:r>
      <w:r w:rsidRPr="007D09E0">
        <w:rPr>
          <w:rStyle w:val="Hyperlink"/>
          <w:sz w:val="18"/>
          <w:szCs w:val="18"/>
          <w:lang w:val="en-IE"/>
        </w:rPr>
        <w:t>https://www.etf-europe.org/wp-content/uploads/2020/11/SSDC-Resolution-human-rights-and-labour-abuses-in-certain-Asian-fishing-fleets.pdf</w:t>
      </w:r>
      <w:r w:rsidR="009F4E34">
        <w:rPr>
          <w:rStyle w:val="Hyperlink"/>
          <w:sz w:val="18"/>
          <w:szCs w:val="18"/>
          <w:lang w:val="en-IE"/>
        </w:rPr>
        <w:fldChar w:fldCharType="end"/>
      </w:r>
      <w:r w:rsidRPr="00A23A47">
        <w:rPr>
          <w:rFonts w:asciiTheme="majorHAnsi" w:hAnsiTheme="majorHAnsi" w:cstheme="majorHAnsi"/>
          <w:sz w:val="18"/>
          <w:szCs w:val="18"/>
          <w:lang w:val="en-IE"/>
        </w:rPr>
        <w:t xml:space="preserve"> </w:t>
      </w:r>
    </w:p>
  </w:footnote>
  <w:footnote w:id="108">
    <w:p w14:paraId="4DC6EECE" w14:textId="77777777" w:rsidR="001F330E" w:rsidRPr="00A23A47" w:rsidRDefault="001F330E" w:rsidP="0022385C">
      <w:pPr>
        <w:spacing w:after="0"/>
        <w:jc w:val="left"/>
        <w:rPr>
          <w:rFonts w:asciiTheme="majorHAnsi" w:hAnsiTheme="majorHAnsi" w:cstheme="majorHAnsi"/>
          <w:sz w:val="18"/>
          <w:szCs w:val="18"/>
          <w:lang w:val="en-IE"/>
        </w:rPr>
      </w:pPr>
      <w:r w:rsidRPr="00A23A47">
        <w:rPr>
          <w:rFonts w:asciiTheme="majorHAnsi" w:hAnsiTheme="majorHAnsi" w:cstheme="majorHAnsi"/>
          <w:sz w:val="18"/>
          <w:szCs w:val="18"/>
          <w:vertAlign w:val="superscript"/>
        </w:rPr>
        <w:footnoteRef/>
      </w:r>
      <w:r w:rsidRPr="00A23A47">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"https://www.seafoodsource.com/news/environment-sustainability/us-ramping-up-pressure-on-china-s-use-of-forced-labor-in-distant-water-fishing" \h </w:instrText>
      </w:r>
      <w:r w:rsidR="009F4E34">
        <w:fldChar w:fldCharType="separate"/>
      </w:r>
      <w:r w:rsidRPr="007D09E0">
        <w:rPr>
          <w:rStyle w:val="Hyperlink"/>
          <w:sz w:val="18"/>
          <w:szCs w:val="18"/>
          <w:lang w:val="en-IE"/>
        </w:rPr>
        <w:t>https://www.seafoodsource.com/news/environment-sustainability/us-ramping-up-pressure-on-china-s-use-of-forced-labor-in-distant-water-fishing</w:t>
      </w:r>
      <w:r w:rsidR="009F4E34">
        <w:rPr>
          <w:rStyle w:val="Hyperlink"/>
          <w:sz w:val="18"/>
          <w:szCs w:val="18"/>
          <w:lang w:val="en-IE"/>
        </w:rPr>
        <w:fldChar w:fldCharType="end"/>
      </w:r>
      <w:r w:rsidRPr="00A23A47">
        <w:rPr>
          <w:rFonts w:asciiTheme="majorHAnsi" w:hAnsiTheme="majorHAnsi" w:cstheme="majorHAnsi"/>
          <w:sz w:val="18"/>
          <w:szCs w:val="18"/>
          <w:lang w:val="en-IE"/>
        </w:rPr>
        <w:t xml:space="preserve"> </w:t>
      </w:r>
    </w:p>
  </w:footnote>
  <w:footnote w:id="109">
    <w:p w14:paraId="63C42708" w14:textId="77777777" w:rsidR="001F330E" w:rsidRPr="00A23A47" w:rsidRDefault="001F330E" w:rsidP="0022385C">
      <w:pPr>
        <w:spacing w:after="0"/>
        <w:jc w:val="left"/>
        <w:rPr>
          <w:rFonts w:asciiTheme="majorHAnsi" w:hAnsiTheme="majorHAnsi" w:cstheme="majorHAnsi"/>
          <w:sz w:val="18"/>
          <w:szCs w:val="18"/>
          <w:lang w:val="en-IE"/>
        </w:rPr>
      </w:pPr>
      <w:r w:rsidRPr="00A23A47">
        <w:rPr>
          <w:rFonts w:asciiTheme="majorHAnsi" w:hAnsiTheme="majorHAnsi" w:cstheme="majorHAnsi"/>
          <w:sz w:val="18"/>
          <w:szCs w:val="18"/>
          <w:vertAlign w:val="superscript"/>
        </w:rPr>
        <w:footnoteRef/>
      </w:r>
      <w:r w:rsidRPr="00A23A47">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"https://www.bbc.com/news/world-asia-52822943" \h </w:instrText>
      </w:r>
      <w:r w:rsidR="009F4E34">
        <w:fldChar w:fldCharType="separate"/>
      </w:r>
      <w:r w:rsidRPr="007D09E0">
        <w:rPr>
          <w:rStyle w:val="Hyperlink"/>
          <w:sz w:val="18"/>
          <w:szCs w:val="18"/>
          <w:lang w:val="en-IE"/>
        </w:rPr>
        <w:t>https://www.bbc.com/news/world-asia-52822943</w:t>
      </w:r>
      <w:r w:rsidR="009F4E34">
        <w:rPr>
          <w:rStyle w:val="Hyperlink"/>
          <w:sz w:val="18"/>
          <w:szCs w:val="18"/>
          <w:lang w:val="en-IE"/>
        </w:rPr>
        <w:fldChar w:fldCharType="end"/>
      </w:r>
      <w:r w:rsidRPr="00A23A47">
        <w:rPr>
          <w:rFonts w:asciiTheme="majorHAnsi" w:hAnsiTheme="majorHAnsi" w:cstheme="majorHAnsi"/>
          <w:sz w:val="18"/>
          <w:szCs w:val="18"/>
          <w:lang w:val="en-IE"/>
        </w:rPr>
        <w:t xml:space="preserve"> </w:t>
      </w:r>
    </w:p>
  </w:footnote>
  <w:footnote w:id="110">
    <w:p w14:paraId="771A41B5" w14:textId="77777777" w:rsidR="001F330E" w:rsidRPr="00ED3367" w:rsidRDefault="001F330E" w:rsidP="0022385C">
      <w:pPr>
        <w:spacing w:after="0"/>
        <w:jc w:val="left"/>
        <w:rPr>
          <w:rFonts w:asciiTheme="majorHAnsi" w:hAnsiTheme="majorHAnsi" w:cstheme="majorHAnsi"/>
          <w:sz w:val="18"/>
          <w:szCs w:val="18"/>
          <w:lang w:val="en-IE"/>
        </w:rPr>
      </w:pPr>
      <w:r w:rsidRPr="00A23A47">
        <w:rPr>
          <w:rFonts w:asciiTheme="majorHAnsi" w:hAnsiTheme="majorHAnsi" w:cstheme="majorHAnsi"/>
          <w:sz w:val="18"/>
          <w:szCs w:val="18"/>
          <w:vertAlign w:val="superscript"/>
        </w:rPr>
        <w:footnoteRef/>
      </w:r>
      <w:r w:rsidRPr="00A23A47">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"https://www.theguardian.com/environment/2020/may/22/disappearances-dange</w:instrText>
      </w:r>
      <w:r w:rsidR="009F4E34" w:rsidRPr="004B3125">
        <w:rPr>
          <w:lang w:val="en-IE"/>
        </w:rPr>
        <w:instrText xml:space="preserve">r-and-death-what-is-happening-to-fishery-observers" \h </w:instrText>
      </w:r>
      <w:r w:rsidR="009F4E34">
        <w:fldChar w:fldCharType="separate"/>
      </w:r>
      <w:r w:rsidRPr="007D09E0">
        <w:rPr>
          <w:rStyle w:val="Hyperlink"/>
          <w:sz w:val="18"/>
          <w:szCs w:val="18"/>
          <w:lang w:val="en-IE"/>
        </w:rPr>
        <w:t>https://www.theguardian.com/environment/2020/may/22/disappearances-danger-and-death-what-is-happening-to-fishery-observers</w:t>
      </w:r>
      <w:r w:rsidR="009F4E34">
        <w:rPr>
          <w:rStyle w:val="Hyperlink"/>
          <w:sz w:val="18"/>
          <w:szCs w:val="18"/>
          <w:lang w:val="en-IE"/>
        </w:rPr>
        <w:fldChar w:fldCharType="end"/>
      </w:r>
      <w:r w:rsidRPr="00ED3367">
        <w:rPr>
          <w:rFonts w:asciiTheme="majorHAnsi" w:hAnsiTheme="majorHAnsi" w:cstheme="majorHAnsi"/>
          <w:sz w:val="18"/>
          <w:szCs w:val="18"/>
          <w:lang w:val="en-IE"/>
        </w:rPr>
        <w:t xml:space="preserve"> </w:t>
      </w:r>
    </w:p>
  </w:footnote>
  <w:footnote w:id="111">
    <w:p w14:paraId="359213E8" w14:textId="191E1269" w:rsidR="001F330E" w:rsidRPr="00A23A47" w:rsidRDefault="001F330E">
      <w:pPr>
        <w:pStyle w:val="FootnoteText"/>
        <w:rPr>
          <w:rFonts w:asciiTheme="majorHAnsi" w:hAnsiTheme="majorHAnsi" w:cstheme="majorHAnsi"/>
          <w:sz w:val="18"/>
          <w:szCs w:val="18"/>
          <w:lang w:val="en-GB"/>
        </w:rPr>
      </w:pPr>
      <w:r w:rsidRPr="00A23A47">
        <w:rPr>
          <w:rStyle w:val="FootnoteReference"/>
          <w:rFonts w:asciiTheme="majorHAnsi" w:hAnsiTheme="majorHAnsi" w:cstheme="majorHAnsi"/>
          <w:sz w:val="18"/>
          <w:szCs w:val="18"/>
        </w:rPr>
        <w:footnoteRef/>
      </w:r>
      <w:r w:rsidRPr="00A23A47">
        <w:rPr>
          <w:rFonts w:asciiTheme="majorHAnsi" w:hAnsiTheme="majorHAnsi" w:cstheme="majorHAnsi"/>
          <w:sz w:val="18"/>
          <w:szCs w:val="18"/>
          <w:lang w:val="en-GB"/>
        </w:rPr>
        <w:t xml:space="preserve"> The article 19 of the GSP regulation already provides for temporary withdrawal of tariff preferences in case of ‘serious and systematic infringement of the objectives adopted by Regional Fishery Organisations or any international arrangements to which the Union is a party concerning the conservation and management of fishery resources’. A similar approach could be adopted regarding the social aspects of the fisheries.</w:t>
      </w:r>
    </w:p>
  </w:footnote>
  <w:footnote w:id="112">
    <w:p w14:paraId="4557BADC" w14:textId="2FE9D298" w:rsidR="001F330E" w:rsidRPr="00ED3367" w:rsidRDefault="001F330E" w:rsidP="00CA7765">
      <w:pPr>
        <w:widowControl w:val="0"/>
        <w:spacing w:after="0"/>
        <w:jc w:val="left"/>
        <w:rPr>
          <w:rFonts w:asciiTheme="majorHAnsi" w:hAnsiTheme="majorHAnsi" w:cstheme="majorHAnsi"/>
          <w:sz w:val="18"/>
          <w:szCs w:val="18"/>
        </w:rPr>
      </w:pPr>
      <w:r w:rsidRPr="00ED3367">
        <w:rPr>
          <w:rFonts w:asciiTheme="majorHAnsi" w:hAnsiTheme="majorHAnsi" w:cstheme="majorHAnsi"/>
          <w:sz w:val="18"/>
          <w:szCs w:val="18"/>
          <w:vertAlign w:val="superscript"/>
        </w:rPr>
        <w:footnoteRef/>
      </w:r>
      <w:r w:rsidRPr="00ED3367">
        <w:rPr>
          <w:rFonts w:asciiTheme="majorHAnsi" w:hAnsiTheme="majorHAnsi" w:cstheme="majorHAnsi"/>
          <w:sz w:val="18"/>
          <w:szCs w:val="18"/>
          <w:vertAlign w:val="superscript"/>
          <w:lang w:val="en-IE"/>
        </w:rPr>
        <w:t xml:space="preserve"> </w:t>
      </w:r>
      <w:r w:rsidRPr="00ED3367">
        <w:rPr>
          <w:rFonts w:asciiTheme="majorHAnsi" w:hAnsiTheme="majorHAnsi" w:cstheme="majorHAnsi"/>
          <w:sz w:val="18"/>
          <w:szCs w:val="18"/>
          <w:lang w:val="en-IE"/>
        </w:rPr>
        <w:t xml:space="preserve">Vid. MARINNLEG (2020) Level Playing Field y la Pesca. </w:t>
      </w:r>
      <w:r w:rsidRPr="00ED3367">
        <w:rPr>
          <w:rFonts w:asciiTheme="majorHAnsi" w:hAnsiTheme="majorHAnsi" w:cstheme="majorHAnsi"/>
          <w:sz w:val="18"/>
          <w:szCs w:val="18"/>
        </w:rPr>
        <w:t xml:space="preserve">Condiciones principales y recomendaciones. Julio 2020, Vigo. </w:t>
      </w:r>
    </w:p>
  </w:footnote>
  <w:footnote w:id="113">
    <w:p w14:paraId="178CDCBF" w14:textId="54872501" w:rsidR="001F330E" w:rsidRPr="007D09E0" w:rsidRDefault="001F330E">
      <w:pPr>
        <w:pStyle w:val="FootnoteText"/>
        <w:rPr>
          <w:rFonts w:asciiTheme="majorHAnsi" w:hAnsiTheme="majorHAnsi" w:cstheme="majorHAnsi"/>
          <w:sz w:val="18"/>
          <w:szCs w:val="18"/>
          <w:lang w:val="en-US"/>
        </w:rPr>
      </w:pPr>
      <w:r w:rsidRPr="007D09E0">
        <w:rPr>
          <w:rStyle w:val="FootnoteReference"/>
          <w:rFonts w:asciiTheme="majorHAnsi" w:hAnsiTheme="majorHAnsi" w:cstheme="majorHAnsi"/>
          <w:sz w:val="18"/>
          <w:szCs w:val="18"/>
        </w:rPr>
        <w:footnoteRef/>
      </w:r>
      <w:r w:rsidRPr="007D09E0">
        <w:rPr>
          <w:rFonts w:asciiTheme="majorHAnsi" w:hAnsiTheme="majorHAnsi" w:cstheme="majorHAnsi"/>
          <w:sz w:val="18"/>
          <w:szCs w:val="18"/>
          <w:lang w:val="en-GB"/>
        </w:rPr>
        <w:t xml:space="preserve"> These three countries were added to the initial list of countries considered by the LDAC due to their relevance to this analysis. Ecuador is the third largest supplier of fisheries and aquaculture products of the EU and has been pre-identified under the EU IUU Regulation. Taiwan is considered the second world’s largest distant-water fishing nation after China and had previously been pre-identified under the EU IUU Regulation. Panama is an important flag state and has been pre-identified under the EU IUU Regulation twice.</w:t>
      </w:r>
    </w:p>
  </w:footnote>
  <w:footnote w:id="114">
    <w:p w14:paraId="51A8585F" w14:textId="02F7828C" w:rsidR="001F330E" w:rsidRPr="00ED3367" w:rsidRDefault="001F330E" w:rsidP="00CA7765">
      <w:pPr>
        <w:widowControl w:val="0"/>
        <w:spacing w:after="0"/>
        <w:jc w:val="left"/>
        <w:rPr>
          <w:rFonts w:asciiTheme="majorHAnsi" w:hAnsiTheme="majorHAnsi" w:cstheme="majorHAnsi"/>
          <w:sz w:val="18"/>
          <w:szCs w:val="18"/>
          <w:vertAlign w:val="superscript"/>
          <w:lang w:val="en-IE"/>
        </w:rPr>
      </w:pPr>
      <w:r w:rsidRPr="00ED3367">
        <w:rPr>
          <w:rFonts w:asciiTheme="majorHAnsi" w:hAnsiTheme="majorHAnsi" w:cstheme="majorHAnsi"/>
          <w:sz w:val="18"/>
          <w:szCs w:val="18"/>
          <w:vertAlign w:val="superscript"/>
        </w:rPr>
        <w:footnoteRef/>
      </w:r>
      <w:r w:rsidRPr="00ED3367">
        <w:rPr>
          <w:rFonts w:asciiTheme="majorHAnsi" w:hAnsiTheme="majorHAnsi" w:cstheme="majorHAnsi"/>
          <w:sz w:val="18"/>
          <w:szCs w:val="18"/>
          <w:vertAlign w:val="superscript"/>
          <w:lang w:val="en-IE"/>
        </w:rPr>
        <w:t xml:space="preserve">  </w:t>
      </w:r>
      <w:r w:rsidRPr="00ED3367">
        <w:rPr>
          <w:rFonts w:asciiTheme="majorHAnsi" w:hAnsiTheme="majorHAnsi" w:cstheme="majorHAnsi"/>
          <w:sz w:val="18"/>
          <w:szCs w:val="18"/>
          <w:lang w:val="en-IE"/>
        </w:rPr>
        <w:t>The EUMOFA study (2019) was conducted before the United Kingdom left the European Union.</w:t>
      </w:r>
    </w:p>
  </w:footnote>
  <w:footnote w:id="115">
    <w:p w14:paraId="4253152B" w14:textId="77777777" w:rsidR="001F330E" w:rsidRPr="00ED3367" w:rsidRDefault="001F330E" w:rsidP="00CA7765">
      <w:pPr>
        <w:spacing w:after="0"/>
        <w:jc w:val="left"/>
        <w:rPr>
          <w:rFonts w:asciiTheme="majorHAnsi" w:hAnsiTheme="majorHAnsi" w:cstheme="majorHAnsi"/>
          <w:color w:val="FF00FF"/>
          <w:sz w:val="18"/>
          <w:szCs w:val="18"/>
          <w:vertAlign w:val="superscript"/>
          <w:lang w:val="en-IE"/>
        </w:rPr>
      </w:pPr>
      <w:r w:rsidRPr="00ED3367">
        <w:rPr>
          <w:rFonts w:asciiTheme="majorHAnsi" w:hAnsiTheme="majorHAnsi" w:cstheme="majorHAnsi"/>
          <w:sz w:val="18"/>
          <w:szCs w:val="18"/>
          <w:vertAlign w:val="superscript"/>
        </w:rPr>
        <w:footnoteRef/>
      </w:r>
      <w:r w:rsidRPr="00ED3367">
        <w:rPr>
          <w:rFonts w:asciiTheme="majorHAnsi" w:hAnsiTheme="majorHAnsi" w:cstheme="majorHAnsi"/>
          <w:sz w:val="18"/>
          <w:szCs w:val="18"/>
          <w:lang w:val="en-IE"/>
        </w:rPr>
        <w:t xml:space="preserve"> The MLC sets minimum requirements for working conditions on vessels, and therefore is also applicable to vessels that transport seafood products.</w:t>
      </w:r>
    </w:p>
  </w:footnote>
  <w:footnote w:id="116">
    <w:p w14:paraId="085FF89A" w14:textId="782D33D4" w:rsidR="001F330E" w:rsidRPr="00ED3367" w:rsidRDefault="001F330E" w:rsidP="00CA7765">
      <w:pPr>
        <w:spacing w:after="0"/>
        <w:jc w:val="left"/>
        <w:rPr>
          <w:rFonts w:asciiTheme="majorHAnsi" w:hAnsiTheme="majorHAnsi" w:cstheme="majorHAnsi"/>
          <w:sz w:val="18"/>
          <w:szCs w:val="18"/>
          <w:lang w:val="en-US"/>
        </w:rPr>
      </w:pPr>
      <w:r w:rsidRPr="00ED3367">
        <w:rPr>
          <w:rFonts w:asciiTheme="majorHAnsi" w:hAnsiTheme="majorHAnsi" w:cstheme="majorHAnsi"/>
          <w:sz w:val="18"/>
          <w:szCs w:val="18"/>
          <w:vertAlign w:val="superscript"/>
        </w:rPr>
        <w:footnoteRef/>
      </w:r>
      <w:r w:rsidRPr="00ED3367">
        <w:rPr>
          <w:rFonts w:asciiTheme="majorHAnsi" w:hAnsiTheme="majorHAnsi" w:cstheme="majorHAnsi"/>
          <w:sz w:val="18"/>
          <w:szCs w:val="18"/>
          <w:lang w:val="en-IE"/>
        </w:rPr>
        <w:t xml:space="preserve"> All States have ratified it except Austria </w:t>
      </w:r>
      <w:r w:rsidRPr="00ED3367">
        <w:rPr>
          <w:rFonts w:asciiTheme="majorHAnsi" w:hAnsiTheme="majorHAnsi" w:cstheme="majorHAnsi"/>
          <w:sz w:val="18"/>
          <w:szCs w:val="18"/>
          <w:shd w:val="clear" w:color="auto" w:fill="FFFFFF" w:themeFill="background1"/>
          <w:lang w:val="en-IE"/>
        </w:rPr>
        <w:t xml:space="preserve">and Czech Republic. </w:t>
      </w:r>
    </w:p>
  </w:footnote>
  <w:footnote w:id="117">
    <w:p w14:paraId="64D0E796" w14:textId="4C121B44" w:rsidR="001F330E" w:rsidRPr="00ED3367" w:rsidRDefault="001F330E" w:rsidP="00CA7765">
      <w:pPr>
        <w:spacing w:after="0"/>
        <w:jc w:val="left"/>
        <w:rPr>
          <w:rFonts w:asciiTheme="majorHAnsi" w:hAnsiTheme="majorHAnsi" w:cstheme="majorHAnsi"/>
          <w:sz w:val="18"/>
          <w:szCs w:val="18"/>
          <w:lang w:val="en-IE"/>
        </w:rPr>
      </w:pPr>
      <w:r w:rsidRPr="00ED3367">
        <w:rPr>
          <w:rFonts w:asciiTheme="majorHAnsi" w:hAnsiTheme="majorHAnsi" w:cstheme="majorHAnsi"/>
          <w:sz w:val="18"/>
          <w:szCs w:val="18"/>
          <w:vertAlign w:val="superscript"/>
        </w:rPr>
        <w:footnoteRef/>
      </w:r>
      <w:r w:rsidRPr="00ED3367">
        <w:rPr>
          <w:rFonts w:asciiTheme="majorHAnsi" w:hAnsiTheme="majorHAnsi" w:cstheme="majorHAnsi"/>
          <w:sz w:val="18"/>
          <w:szCs w:val="18"/>
          <w:vertAlign w:val="superscript"/>
          <w:lang w:val="en-IE"/>
        </w:rPr>
        <w:t xml:space="preserve"> </w:t>
      </w:r>
      <w:r w:rsidRPr="00ED3367">
        <w:rPr>
          <w:rFonts w:asciiTheme="majorHAnsi" w:hAnsiTheme="majorHAnsi" w:cstheme="majorHAnsi"/>
          <w:sz w:val="18"/>
          <w:szCs w:val="18"/>
          <w:lang w:val="en-IE"/>
        </w:rPr>
        <w:t>The following states have ratified C-188: Denmark, Estonia, France, Lithuania, the Netherlands, Poland and Portugal. In 2017, Council Directive (EU) 2017/159, of December 19, 2016, was approved, which applies the Agreement on the application of the International Organization's Work in Fishing Convention 2007 of Labor, held on May 21, 2012 between the General Confederation of Agricultural Cooperatives of the European Union (Cogeca), the European Federation of Transport Workers (ETF) and the Association of National Organizations of Fishing Companies of the European Union (Europêche), OJ L 25, 31.1.2017</w:t>
      </w:r>
    </w:p>
  </w:footnote>
  <w:footnote w:id="118">
    <w:p w14:paraId="3D5155CF" w14:textId="3A18E923" w:rsidR="001F330E" w:rsidRPr="00ED3367" w:rsidRDefault="001F330E" w:rsidP="00CA7765">
      <w:pPr>
        <w:spacing w:after="0"/>
        <w:jc w:val="left"/>
        <w:rPr>
          <w:rFonts w:asciiTheme="majorHAnsi" w:hAnsiTheme="majorHAnsi" w:cstheme="majorHAnsi"/>
          <w:sz w:val="18"/>
          <w:szCs w:val="18"/>
          <w:vertAlign w:val="superscript"/>
          <w:lang w:val="en-IE"/>
        </w:rPr>
      </w:pPr>
      <w:r w:rsidRPr="00ED3367">
        <w:rPr>
          <w:rFonts w:asciiTheme="majorHAnsi" w:hAnsiTheme="majorHAnsi" w:cstheme="majorHAnsi"/>
          <w:sz w:val="18"/>
          <w:szCs w:val="18"/>
          <w:vertAlign w:val="superscript"/>
        </w:rPr>
        <w:footnoteRef/>
      </w:r>
      <w:r w:rsidRPr="00ED3367">
        <w:rPr>
          <w:rFonts w:asciiTheme="majorHAnsi" w:hAnsiTheme="majorHAnsi" w:cstheme="majorHAnsi"/>
          <w:sz w:val="18"/>
          <w:szCs w:val="18"/>
          <w:lang w:val="en-IE"/>
        </w:rPr>
        <w:t xml:space="preserve"> The following Member States have ratified it: Belgium, Denmark, Spain, France, Latvia, Lithuania, the Netherlands, Poland, Portugal and Romania (as of 20.4.2021)</w:t>
      </w:r>
    </w:p>
  </w:footnote>
  <w:footnote w:id="119">
    <w:p w14:paraId="7455CAC0" w14:textId="73893B38" w:rsidR="001F330E" w:rsidRPr="00ED3367" w:rsidRDefault="001F330E" w:rsidP="00CA7765">
      <w:pPr>
        <w:spacing w:after="0"/>
        <w:jc w:val="left"/>
        <w:rPr>
          <w:rFonts w:asciiTheme="majorHAnsi" w:hAnsiTheme="majorHAnsi" w:cstheme="majorHAnsi"/>
          <w:sz w:val="18"/>
          <w:szCs w:val="18"/>
          <w:vertAlign w:val="superscript"/>
          <w:lang w:val="en-IE"/>
        </w:rPr>
      </w:pPr>
      <w:r w:rsidRPr="00ED3367">
        <w:rPr>
          <w:rFonts w:asciiTheme="majorHAnsi" w:hAnsiTheme="majorHAnsi" w:cstheme="majorHAnsi"/>
          <w:sz w:val="18"/>
          <w:szCs w:val="18"/>
          <w:vertAlign w:val="superscript"/>
        </w:rPr>
        <w:footnoteRef/>
      </w:r>
      <w:r w:rsidRPr="00ED3367">
        <w:rPr>
          <w:rFonts w:asciiTheme="majorHAnsi" w:hAnsiTheme="majorHAnsi" w:cstheme="majorHAnsi"/>
          <w:sz w:val="18"/>
          <w:szCs w:val="18"/>
          <w:lang w:val="en-IE"/>
        </w:rPr>
        <w:t xml:space="preserve"> Belgium, Croatia, Denmark, Finland, France, Germany, Netherlands and Spain (as of 20.4.2021)</w:t>
      </w:r>
    </w:p>
  </w:footnote>
  <w:footnote w:id="120">
    <w:p w14:paraId="06E454E1" w14:textId="77777777" w:rsidR="001F330E" w:rsidRPr="00A23A47" w:rsidRDefault="001F330E" w:rsidP="004D13DE">
      <w:pPr>
        <w:pStyle w:val="FootnoteText"/>
        <w:rPr>
          <w:rFonts w:asciiTheme="majorHAnsi" w:hAnsiTheme="majorHAnsi" w:cstheme="majorHAnsi"/>
          <w:sz w:val="18"/>
          <w:szCs w:val="18"/>
          <w:lang w:val="en-GB"/>
        </w:rPr>
      </w:pPr>
      <w:r w:rsidRPr="00A23A47">
        <w:rPr>
          <w:rStyle w:val="FootnoteReference"/>
          <w:rFonts w:asciiTheme="majorHAnsi" w:hAnsiTheme="majorHAnsi" w:cstheme="majorHAnsi"/>
          <w:sz w:val="18"/>
          <w:szCs w:val="18"/>
        </w:rPr>
        <w:footnoteRef/>
      </w:r>
      <w:r w:rsidRPr="00A23A47">
        <w:rPr>
          <w:rFonts w:asciiTheme="majorHAnsi" w:hAnsiTheme="majorHAnsi" w:cstheme="majorHAnsi"/>
          <w:sz w:val="18"/>
          <w:szCs w:val="18"/>
          <w:lang w:val="en-GB"/>
        </w:rPr>
        <w:t xml:space="preserve"> Santiago, J., AZTI, 2021</w:t>
      </w:r>
    </w:p>
    <w:p w14:paraId="60469600" w14:textId="0098FC7B" w:rsidR="001F330E" w:rsidRPr="00A23A47" w:rsidRDefault="001F330E">
      <w:pPr>
        <w:pStyle w:val="FootnoteText"/>
        <w:rPr>
          <w:rFonts w:asciiTheme="majorHAnsi" w:hAnsiTheme="majorHAnsi" w:cstheme="majorHAnsi"/>
          <w:sz w:val="18"/>
          <w:szCs w:val="18"/>
          <w:lang w:val="en-GB"/>
        </w:rPr>
      </w:pPr>
    </w:p>
  </w:footnote>
  <w:footnote w:id="121">
    <w:p w14:paraId="4118ACEB" w14:textId="77777777" w:rsidR="001F330E" w:rsidRPr="00ED3367" w:rsidRDefault="001F330E" w:rsidP="00A435BF">
      <w:pPr>
        <w:spacing w:after="0"/>
        <w:jc w:val="left"/>
        <w:rPr>
          <w:rFonts w:asciiTheme="majorHAnsi" w:hAnsiTheme="majorHAnsi" w:cstheme="majorHAnsi"/>
          <w:sz w:val="18"/>
          <w:szCs w:val="18"/>
          <w:lang w:val="en-IE"/>
        </w:rPr>
      </w:pPr>
      <w:r w:rsidRPr="00ED3367">
        <w:rPr>
          <w:rFonts w:asciiTheme="majorHAnsi" w:hAnsiTheme="majorHAnsi" w:cstheme="majorHAnsi"/>
          <w:sz w:val="18"/>
          <w:szCs w:val="18"/>
          <w:vertAlign w:val="superscript"/>
        </w:rPr>
        <w:footnoteRef/>
      </w:r>
      <w:r w:rsidRPr="00ED3367">
        <w:rPr>
          <w:rFonts w:asciiTheme="majorHAnsi" w:hAnsiTheme="majorHAnsi" w:cstheme="majorHAnsi"/>
          <w:sz w:val="18"/>
          <w:szCs w:val="18"/>
          <w:lang w:val="en-IE"/>
        </w:rPr>
        <w:t xml:space="preserve"> The ILO Conventions on the Right to Organise and Collective Bargaining (C98), Forced Labour (C29), on non-discrimination (C100 and C111) and on child labour (C138 and 182).</w:t>
      </w:r>
    </w:p>
  </w:footnote>
  <w:footnote w:id="122">
    <w:p w14:paraId="6AAE9680" w14:textId="77777777" w:rsidR="001F330E" w:rsidRPr="00ED3367" w:rsidRDefault="001F330E" w:rsidP="00A435BF">
      <w:pPr>
        <w:spacing w:after="0"/>
        <w:jc w:val="left"/>
        <w:rPr>
          <w:rFonts w:asciiTheme="majorHAnsi" w:hAnsiTheme="majorHAnsi" w:cstheme="majorHAnsi"/>
          <w:sz w:val="18"/>
          <w:szCs w:val="18"/>
          <w:lang w:val="en-IE"/>
        </w:rPr>
      </w:pPr>
      <w:r w:rsidRPr="00ED3367">
        <w:rPr>
          <w:rFonts w:asciiTheme="majorHAnsi" w:hAnsiTheme="majorHAnsi" w:cstheme="majorHAnsi"/>
          <w:sz w:val="18"/>
          <w:szCs w:val="18"/>
          <w:vertAlign w:val="superscript"/>
        </w:rPr>
        <w:footnoteRef/>
      </w:r>
      <w:r w:rsidRPr="00ED3367">
        <w:rPr>
          <w:rFonts w:asciiTheme="majorHAnsi" w:hAnsiTheme="majorHAnsi" w:cstheme="majorHAnsi"/>
          <w:sz w:val="18"/>
          <w:szCs w:val="18"/>
          <w:lang w:val="en-IE"/>
        </w:rPr>
        <w:t xml:space="preserve"> </w:t>
      </w:r>
      <w:r w:rsidR="009F4E34">
        <w:fldChar w:fldCharType="begin"/>
      </w:r>
      <w:r w:rsidR="009F4E34" w:rsidRPr="004B3125">
        <w:rPr>
          <w:lang w:val="en-IE"/>
        </w:rPr>
        <w:instrText xml:space="preserve"> HYPERLINK "https://ejfoundation.org/resources/downloads/ReportVietnamFishing.</w:instrText>
      </w:r>
      <w:r w:rsidR="009F4E34" w:rsidRPr="004B3125">
        <w:rPr>
          <w:lang w:val="en-IE"/>
        </w:rPr>
        <w:instrText xml:space="preserve">pdf" </w:instrText>
      </w:r>
      <w:r w:rsidR="009F4E34">
        <w:fldChar w:fldCharType="separate"/>
      </w:r>
      <w:r w:rsidRPr="00ED3367">
        <w:rPr>
          <w:rStyle w:val="Hyperlink"/>
          <w:rFonts w:asciiTheme="majorHAnsi" w:hAnsiTheme="majorHAnsi" w:cstheme="majorHAnsi"/>
          <w:sz w:val="18"/>
          <w:szCs w:val="18"/>
          <w:lang w:val="en-IE"/>
        </w:rPr>
        <w:t>https://ejfoundation.org/resources/downloads/ReportVietnamFishing.pdf</w:t>
      </w:r>
      <w:r w:rsidR="009F4E34">
        <w:rPr>
          <w:rStyle w:val="Hyperlink"/>
          <w:rFonts w:asciiTheme="majorHAnsi" w:hAnsiTheme="majorHAnsi" w:cstheme="majorHAnsi"/>
          <w:sz w:val="18"/>
          <w:szCs w:val="18"/>
          <w:lang w:val="en-IE"/>
        </w:rPr>
        <w:fldChar w:fldCharType="end"/>
      </w:r>
      <w:r w:rsidRPr="00ED3367">
        <w:rPr>
          <w:rFonts w:asciiTheme="majorHAnsi" w:hAnsiTheme="majorHAnsi" w:cstheme="majorHAnsi"/>
          <w:sz w:val="18"/>
          <w:szCs w:val="18"/>
          <w:lang w:val="en-I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4612" w14:textId="3D773B3D" w:rsidR="001F330E" w:rsidRPr="00DE6E17" w:rsidRDefault="001F330E" w:rsidP="000C2157">
    <w:pPr>
      <w:pStyle w:val="Header"/>
      <w:ind w:left="-426"/>
      <w:rPr>
        <w:sz w:val="20"/>
        <w:szCs w:val="20"/>
        <w:lang w:val="en-US"/>
      </w:rPr>
    </w:pPr>
    <w:r w:rsidRPr="007E2740">
      <w:rPr>
        <w:noProof/>
      </w:rPr>
      <w:drawing>
        <wp:inline distT="0" distB="0" distL="0" distR="0" wp14:anchorId="245B62FD" wp14:editId="06B6DF10">
          <wp:extent cx="1143000" cy="800100"/>
          <wp:effectExtent l="0" t="0" r="0" b="0"/>
          <wp:docPr id="2" name="Imagen 2" descr="new_logo ld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new_logo ld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inline>
      </w:drawing>
    </w:r>
    <w:r>
      <w:rPr>
        <w:noProof/>
      </w:rPr>
      <w:tab/>
    </w:r>
    <w:r>
      <w:rPr>
        <w:noProof/>
      </w:rPr>
      <w:tab/>
    </w:r>
    <w:r w:rsidRPr="00D71CCB">
      <w:rPr>
        <w:b/>
        <w:lang w:val="en-US"/>
      </w:rPr>
      <w:t xml:space="preserve"> </w:t>
    </w:r>
    <w:r w:rsidRPr="00B5766D">
      <w:rPr>
        <w:b/>
        <w:lang w:val="en-US"/>
      </w:rPr>
      <w:t>LONG DISTANCE ADVISORY COUNCIL</w:t>
    </w:r>
  </w:p>
  <w:p w14:paraId="79EC708B" w14:textId="69289C3F" w:rsidR="001F330E" w:rsidRDefault="001F33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08D4"/>
    <w:multiLevelType w:val="multilevel"/>
    <w:tmpl w:val="B47A5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7E2FC6"/>
    <w:multiLevelType w:val="multilevel"/>
    <w:tmpl w:val="EAB48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A40425"/>
    <w:multiLevelType w:val="multilevel"/>
    <w:tmpl w:val="3B86F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DA2A2B"/>
    <w:multiLevelType w:val="multilevel"/>
    <w:tmpl w:val="CE8A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2F39C2"/>
    <w:multiLevelType w:val="multilevel"/>
    <w:tmpl w:val="24A2B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50456C"/>
    <w:multiLevelType w:val="multilevel"/>
    <w:tmpl w:val="15EC6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E3476B"/>
    <w:multiLevelType w:val="multilevel"/>
    <w:tmpl w:val="432681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DE67C61"/>
    <w:multiLevelType w:val="multilevel"/>
    <w:tmpl w:val="C8E0D67A"/>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8" w15:restartNumberingAfterBreak="0">
    <w:nsid w:val="34FB3B1E"/>
    <w:multiLevelType w:val="multilevel"/>
    <w:tmpl w:val="3D322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181066"/>
    <w:multiLevelType w:val="multilevel"/>
    <w:tmpl w:val="9BCC5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5646DCB"/>
    <w:multiLevelType w:val="multilevel"/>
    <w:tmpl w:val="89923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937038"/>
    <w:multiLevelType w:val="multilevel"/>
    <w:tmpl w:val="BBA88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94D0D65"/>
    <w:multiLevelType w:val="multilevel"/>
    <w:tmpl w:val="29ECA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56212DB"/>
    <w:multiLevelType w:val="multilevel"/>
    <w:tmpl w:val="386A8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34B1A3D"/>
    <w:multiLevelType w:val="multilevel"/>
    <w:tmpl w:val="86EEE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48835C2"/>
    <w:multiLevelType w:val="multilevel"/>
    <w:tmpl w:val="3D685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5956C89"/>
    <w:multiLevelType w:val="multilevel"/>
    <w:tmpl w:val="4EA8F90A"/>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BBB20CD"/>
    <w:multiLevelType w:val="multilevel"/>
    <w:tmpl w:val="08CCE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FF311B9"/>
    <w:multiLevelType w:val="multilevel"/>
    <w:tmpl w:val="1D300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475108C"/>
    <w:multiLevelType w:val="multilevel"/>
    <w:tmpl w:val="E4C61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0"/>
  </w:num>
  <w:num w:numId="3">
    <w:abstractNumId w:val="12"/>
  </w:num>
  <w:num w:numId="4">
    <w:abstractNumId w:val="7"/>
  </w:num>
  <w:num w:numId="5">
    <w:abstractNumId w:val="14"/>
  </w:num>
  <w:num w:numId="6">
    <w:abstractNumId w:val="6"/>
  </w:num>
  <w:num w:numId="7">
    <w:abstractNumId w:val="16"/>
  </w:num>
  <w:num w:numId="8">
    <w:abstractNumId w:val="5"/>
  </w:num>
  <w:num w:numId="9">
    <w:abstractNumId w:val="8"/>
  </w:num>
  <w:num w:numId="10">
    <w:abstractNumId w:val="1"/>
  </w:num>
  <w:num w:numId="11">
    <w:abstractNumId w:val="9"/>
  </w:num>
  <w:num w:numId="12">
    <w:abstractNumId w:val="2"/>
  </w:num>
  <w:num w:numId="13">
    <w:abstractNumId w:val="18"/>
  </w:num>
  <w:num w:numId="14">
    <w:abstractNumId w:val="19"/>
  </w:num>
  <w:num w:numId="15">
    <w:abstractNumId w:val="10"/>
  </w:num>
  <w:num w:numId="16">
    <w:abstractNumId w:val="4"/>
  </w:num>
  <w:num w:numId="17">
    <w:abstractNumId w:val="17"/>
  </w:num>
  <w:num w:numId="18">
    <w:abstractNumId w:val="11"/>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246"/>
    <w:rsid w:val="00002C0B"/>
    <w:rsid w:val="00023CB4"/>
    <w:rsid w:val="00025FC3"/>
    <w:rsid w:val="00033AC8"/>
    <w:rsid w:val="000547CC"/>
    <w:rsid w:val="000613E8"/>
    <w:rsid w:val="00062612"/>
    <w:rsid w:val="00072181"/>
    <w:rsid w:val="00080B71"/>
    <w:rsid w:val="00083A9A"/>
    <w:rsid w:val="000A78A3"/>
    <w:rsid w:val="000A7FCD"/>
    <w:rsid w:val="000C0A88"/>
    <w:rsid w:val="000C1A6F"/>
    <w:rsid w:val="000C2157"/>
    <w:rsid w:val="000C57CB"/>
    <w:rsid w:val="000C7DA4"/>
    <w:rsid w:val="000D1041"/>
    <w:rsid w:val="000E7034"/>
    <w:rsid w:val="000F2147"/>
    <w:rsid w:val="000F30B9"/>
    <w:rsid w:val="000F4636"/>
    <w:rsid w:val="0010375B"/>
    <w:rsid w:val="00135940"/>
    <w:rsid w:val="00137504"/>
    <w:rsid w:val="0016450B"/>
    <w:rsid w:val="00164730"/>
    <w:rsid w:val="00173C48"/>
    <w:rsid w:val="001A02B4"/>
    <w:rsid w:val="001A2916"/>
    <w:rsid w:val="001A5376"/>
    <w:rsid w:val="001B2E77"/>
    <w:rsid w:val="001E7EE9"/>
    <w:rsid w:val="001F330E"/>
    <w:rsid w:val="001F4449"/>
    <w:rsid w:val="001F7172"/>
    <w:rsid w:val="00205423"/>
    <w:rsid w:val="00205F26"/>
    <w:rsid w:val="0021486C"/>
    <w:rsid w:val="0022385C"/>
    <w:rsid w:val="002535CB"/>
    <w:rsid w:val="002569AE"/>
    <w:rsid w:val="00266869"/>
    <w:rsid w:val="00270FE9"/>
    <w:rsid w:val="00281246"/>
    <w:rsid w:val="00285CFD"/>
    <w:rsid w:val="002963B1"/>
    <w:rsid w:val="00296653"/>
    <w:rsid w:val="002B5078"/>
    <w:rsid w:val="002B5B0D"/>
    <w:rsid w:val="002C3F01"/>
    <w:rsid w:val="002D11F1"/>
    <w:rsid w:val="002F6515"/>
    <w:rsid w:val="00304403"/>
    <w:rsid w:val="003061D2"/>
    <w:rsid w:val="00321C2E"/>
    <w:rsid w:val="003316F5"/>
    <w:rsid w:val="00347CCA"/>
    <w:rsid w:val="00351C7E"/>
    <w:rsid w:val="00353259"/>
    <w:rsid w:val="00354904"/>
    <w:rsid w:val="00361A1E"/>
    <w:rsid w:val="0038064D"/>
    <w:rsid w:val="0038567C"/>
    <w:rsid w:val="00390EEB"/>
    <w:rsid w:val="00397421"/>
    <w:rsid w:val="00397DA1"/>
    <w:rsid w:val="003A4C7D"/>
    <w:rsid w:val="003A6F43"/>
    <w:rsid w:val="003C1B4F"/>
    <w:rsid w:val="003C230C"/>
    <w:rsid w:val="003F7BB1"/>
    <w:rsid w:val="00410E44"/>
    <w:rsid w:val="00427DBC"/>
    <w:rsid w:val="004323CC"/>
    <w:rsid w:val="0043577A"/>
    <w:rsid w:val="00436BF7"/>
    <w:rsid w:val="004517C1"/>
    <w:rsid w:val="0045784E"/>
    <w:rsid w:val="00476E06"/>
    <w:rsid w:val="00480853"/>
    <w:rsid w:val="00493A04"/>
    <w:rsid w:val="004A647C"/>
    <w:rsid w:val="004B3125"/>
    <w:rsid w:val="004B3D9E"/>
    <w:rsid w:val="004B3DD8"/>
    <w:rsid w:val="004B73E8"/>
    <w:rsid w:val="004D13DE"/>
    <w:rsid w:val="004D5A2D"/>
    <w:rsid w:val="00503CF8"/>
    <w:rsid w:val="00517522"/>
    <w:rsid w:val="0053683A"/>
    <w:rsid w:val="005432E8"/>
    <w:rsid w:val="005523BB"/>
    <w:rsid w:val="005672DE"/>
    <w:rsid w:val="00572BD5"/>
    <w:rsid w:val="005A442C"/>
    <w:rsid w:val="005B5224"/>
    <w:rsid w:val="005C7546"/>
    <w:rsid w:val="005F185B"/>
    <w:rsid w:val="005F75DF"/>
    <w:rsid w:val="00602A62"/>
    <w:rsid w:val="00614F62"/>
    <w:rsid w:val="00631610"/>
    <w:rsid w:val="0065273F"/>
    <w:rsid w:val="00676647"/>
    <w:rsid w:val="00696F5E"/>
    <w:rsid w:val="006A0AFE"/>
    <w:rsid w:val="006B0895"/>
    <w:rsid w:val="006B0EBD"/>
    <w:rsid w:val="006B6CD1"/>
    <w:rsid w:val="006E0446"/>
    <w:rsid w:val="006F4F63"/>
    <w:rsid w:val="00702AF8"/>
    <w:rsid w:val="00704778"/>
    <w:rsid w:val="00711258"/>
    <w:rsid w:val="00715D03"/>
    <w:rsid w:val="00723846"/>
    <w:rsid w:val="0072480F"/>
    <w:rsid w:val="007262F8"/>
    <w:rsid w:val="0072723F"/>
    <w:rsid w:val="00743AC7"/>
    <w:rsid w:val="00751D91"/>
    <w:rsid w:val="0075424A"/>
    <w:rsid w:val="00756910"/>
    <w:rsid w:val="00763232"/>
    <w:rsid w:val="00766584"/>
    <w:rsid w:val="007730F9"/>
    <w:rsid w:val="007848FE"/>
    <w:rsid w:val="0079285E"/>
    <w:rsid w:val="007A56D1"/>
    <w:rsid w:val="007A798E"/>
    <w:rsid w:val="007C1104"/>
    <w:rsid w:val="007C4211"/>
    <w:rsid w:val="007D09E0"/>
    <w:rsid w:val="007D4B56"/>
    <w:rsid w:val="007D4EEA"/>
    <w:rsid w:val="007F1485"/>
    <w:rsid w:val="007F5967"/>
    <w:rsid w:val="007F69EA"/>
    <w:rsid w:val="007F7589"/>
    <w:rsid w:val="00817C46"/>
    <w:rsid w:val="008336FA"/>
    <w:rsid w:val="008513F2"/>
    <w:rsid w:val="00851B06"/>
    <w:rsid w:val="00864E52"/>
    <w:rsid w:val="00865D94"/>
    <w:rsid w:val="00871F06"/>
    <w:rsid w:val="00882B51"/>
    <w:rsid w:val="0088794B"/>
    <w:rsid w:val="008929E7"/>
    <w:rsid w:val="008A02A4"/>
    <w:rsid w:val="008A17F8"/>
    <w:rsid w:val="008A6CE5"/>
    <w:rsid w:val="008C3C37"/>
    <w:rsid w:val="008F4DE5"/>
    <w:rsid w:val="008F55C1"/>
    <w:rsid w:val="00902114"/>
    <w:rsid w:val="00907091"/>
    <w:rsid w:val="00913A8F"/>
    <w:rsid w:val="0091582D"/>
    <w:rsid w:val="00924446"/>
    <w:rsid w:val="009345E7"/>
    <w:rsid w:val="00934833"/>
    <w:rsid w:val="00941474"/>
    <w:rsid w:val="00945B65"/>
    <w:rsid w:val="0094646A"/>
    <w:rsid w:val="00947FF3"/>
    <w:rsid w:val="00960D02"/>
    <w:rsid w:val="00971688"/>
    <w:rsid w:val="00987537"/>
    <w:rsid w:val="009A0DAA"/>
    <w:rsid w:val="009C5653"/>
    <w:rsid w:val="009D46C2"/>
    <w:rsid w:val="009E4319"/>
    <w:rsid w:val="009E57EB"/>
    <w:rsid w:val="009E7087"/>
    <w:rsid w:val="009F0A6A"/>
    <w:rsid w:val="009F4E34"/>
    <w:rsid w:val="00A028C2"/>
    <w:rsid w:val="00A02FE6"/>
    <w:rsid w:val="00A14A80"/>
    <w:rsid w:val="00A15723"/>
    <w:rsid w:val="00A23A47"/>
    <w:rsid w:val="00A346C9"/>
    <w:rsid w:val="00A4027D"/>
    <w:rsid w:val="00A435BF"/>
    <w:rsid w:val="00A43D9A"/>
    <w:rsid w:val="00A45983"/>
    <w:rsid w:val="00A478C1"/>
    <w:rsid w:val="00A52C9F"/>
    <w:rsid w:val="00A6409B"/>
    <w:rsid w:val="00A758BB"/>
    <w:rsid w:val="00A86717"/>
    <w:rsid w:val="00AA5F40"/>
    <w:rsid w:val="00AB31CA"/>
    <w:rsid w:val="00AC140C"/>
    <w:rsid w:val="00B04380"/>
    <w:rsid w:val="00B04EF4"/>
    <w:rsid w:val="00B12261"/>
    <w:rsid w:val="00B15D47"/>
    <w:rsid w:val="00B16E27"/>
    <w:rsid w:val="00B20574"/>
    <w:rsid w:val="00B24A51"/>
    <w:rsid w:val="00B6258B"/>
    <w:rsid w:val="00B64C63"/>
    <w:rsid w:val="00B73CE5"/>
    <w:rsid w:val="00B80227"/>
    <w:rsid w:val="00B91A8A"/>
    <w:rsid w:val="00B95359"/>
    <w:rsid w:val="00BA2418"/>
    <w:rsid w:val="00BB02EC"/>
    <w:rsid w:val="00BD4469"/>
    <w:rsid w:val="00BD5804"/>
    <w:rsid w:val="00C17341"/>
    <w:rsid w:val="00C31DBE"/>
    <w:rsid w:val="00C36595"/>
    <w:rsid w:val="00C40390"/>
    <w:rsid w:val="00C475C4"/>
    <w:rsid w:val="00C51AAA"/>
    <w:rsid w:val="00C52FDE"/>
    <w:rsid w:val="00C62338"/>
    <w:rsid w:val="00C63244"/>
    <w:rsid w:val="00C66093"/>
    <w:rsid w:val="00C77500"/>
    <w:rsid w:val="00CA7765"/>
    <w:rsid w:val="00CB4558"/>
    <w:rsid w:val="00CC5C67"/>
    <w:rsid w:val="00CD08F1"/>
    <w:rsid w:val="00CD2964"/>
    <w:rsid w:val="00CD7399"/>
    <w:rsid w:val="00CF3331"/>
    <w:rsid w:val="00D02742"/>
    <w:rsid w:val="00D06131"/>
    <w:rsid w:val="00D15100"/>
    <w:rsid w:val="00D2056A"/>
    <w:rsid w:val="00D22FA7"/>
    <w:rsid w:val="00D355E4"/>
    <w:rsid w:val="00D37FE4"/>
    <w:rsid w:val="00D42377"/>
    <w:rsid w:val="00D52D05"/>
    <w:rsid w:val="00D56D49"/>
    <w:rsid w:val="00D6169F"/>
    <w:rsid w:val="00D64CB9"/>
    <w:rsid w:val="00D66373"/>
    <w:rsid w:val="00D92109"/>
    <w:rsid w:val="00DA16DD"/>
    <w:rsid w:val="00DC55DA"/>
    <w:rsid w:val="00DD3E91"/>
    <w:rsid w:val="00DD4281"/>
    <w:rsid w:val="00DD5D26"/>
    <w:rsid w:val="00DE2C6D"/>
    <w:rsid w:val="00DE4446"/>
    <w:rsid w:val="00E01125"/>
    <w:rsid w:val="00E024F5"/>
    <w:rsid w:val="00E0274C"/>
    <w:rsid w:val="00E10E07"/>
    <w:rsid w:val="00E2272E"/>
    <w:rsid w:val="00E24ABA"/>
    <w:rsid w:val="00E33208"/>
    <w:rsid w:val="00E35280"/>
    <w:rsid w:val="00E56964"/>
    <w:rsid w:val="00E62D67"/>
    <w:rsid w:val="00E77C6F"/>
    <w:rsid w:val="00E83381"/>
    <w:rsid w:val="00E85AE6"/>
    <w:rsid w:val="00E94510"/>
    <w:rsid w:val="00EA1A75"/>
    <w:rsid w:val="00EA5F4D"/>
    <w:rsid w:val="00EB2FB2"/>
    <w:rsid w:val="00EC7B26"/>
    <w:rsid w:val="00ED3367"/>
    <w:rsid w:val="00EE232F"/>
    <w:rsid w:val="00EF1CD1"/>
    <w:rsid w:val="00EF29A1"/>
    <w:rsid w:val="00EF3971"/>
    <w:rsid w:val="00F043FA"/>
    <w:rsid w:val="00F12006"/>
    <w:rsid w:val="00F137C6"/>
    <w:rsid w:val="00F300DC"/>
    <w:rsid w:val="00F32423"/>
    <w:rsid w:val="00F36F87"/>
    <w:rsid w:val="00F37317"/>
    <w:rsid w:val="00F408B0"/>
    <w:rsid w:val="00F4249F"/>
    <w:rsid w:val="00F47BB9"/>
    <w:rsid w:val="00F56C4C"/>
    <w:rsid w:val="00F7535D"/>
    <w:rsid w:val="00F851C4"/>
    <w:rsid w:val="00F863E4"/>
    <w:rsid w:val="00F873A1"/>
    <w:rsid w:val="00F87AC6"/>
    <w:rsid w:val="00F927F4"/>
    <w:rsid w:val="00F97263"/>
    <w:rsid w:val="00FB4F14"/>
    <w:rsid w:val="00FB576F"/>
    <w:rsid w:val="00FE7EF2"/>
    <w:rsid w:val="00FF0BCF"/>
    <w:rsid w:val="00FF0E33"/>
    <w:rsid w:val="00FF4F08"/>
    <w:rsid w:val="00FF538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378AA"/>
  <w15:docId w15:val="{1057FBB7-2321-4F91-A096-2659A779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 w:eastAsia="es-ES" w:bidi="ar-SA"/>
      </w:rPr>
    </w:rPrDefault>
    <w:pPrDefault>
      <w:pPr>
        <w:spacing w:after="200"/>
        <w:ind w:right="21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1"/>
    <w:tblPr>
      <w:tblStyleRowBandSize w:val="1"/>
      <w:tblStyleColBandSize w:val="1"/>
      <w:tblCellMar>
        <w:left w:w="115" w:type="dxa"/>
        <w:right w:w="115" w:type="dxa"/>
      </w:tblCellMar>
    </w:tblPr>
    <w:tcPr>
      <w:shd w:val="clear" w:color="auto" w:fill="17365D"/>
    </w:tc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left w:w="115" w:type="dxa"/>
        <w:right w:w="115" w:type="dxa"/>
      </w:tblCellMar>
    </w:tblPr>
    <w:tcPr>
      <w:shd w:val="clear" w:color="auto" w:fill="17365D"/>
    </w:tcPr>
  </w:style>
  <w:style w:type="table" w:customStyle="1" w:styleId="a2">
    <w:basedOn w:val="TableNormal1"/>
    <w:tblPr>
      <w:tblStyleRowBandSize w:val="1"/>
      <w:tblStyleColBandSize w:val="1"/>
      <w:tblCellMar>
        <w:left w:w="115" w:type="dxa"/>
        <w:right w:w="115" w:type="dxa"/>
      </w:tblCellMar>
    </w:tblPr>
    <w:tcPr>
      <w:shd w:val="clear" w:color="auto" w:fill="17365D"/>
    </w:tcPr>
  </w:style>
  <w:style w:type="table" w:customStyle="1" w:styleId="a3">
    <w:basedOn w:val="TableNormal1"/>
    <w:tblPr>
      <w:tblStyleRowBandSize w:val="1"/>
      <w:tblStyleColBandSize w:val="1"/>
      <w:tblCellMar>
        <w:left w:w="115" w:type="dxa"/>
        <w:right w:w="115" w:type="dxa"/>
      </w:tblCellMar>
    </w:tblPr>
    <w:tcPr>
      <w:shd w:val="clear" w:color="auto" w:fill="17365D"/>
    </w:tcPr>
  </w:style>
  <w:style w:type="table" w:customStyle="1" w:styleId="a4">
    <w:basedOn w:val="TableNormal1"/>
    <w:tblPr>
      <w:tblStyleRowBandSize w:val="1"/>
      <w:tblStyleColBandSize w:val="1"/>
      <w:tblCellMar>
        <w:top w:w="100" w:type="dxa"/>
        <w:left w:w="100" w:type="dxa"/>
        <w:bottom w:w="100" w:type="dxa"/>
        <w:right w:w="100" w:type="dxa"/>
      </w:tblCellMar>
    </w:tblPr>
    <w:tcPr>
      <w:shd w:val="clear" w:color="auto" w:fill="17365D"/>
    </w:tc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8A02A4"/>
    <w:pPr>
      <w:spacing w:after="0"/>
    </w:pPr>
    <w:rPr>
      <w:sz w:val="20"/>
      <w:szCs w:val="20"/>
    </w:rPr>
  </w:style>
  <w:style w:type="character" w:customStyle="1" w:styleId="FootnoteTextChar">
    <w:name w:val="Footnote Text Char"/>
    <w:basedOn w:val="DefaultParagraphFont"/>
    <w:link w:val="FootnoteText"/>
    <w:uiPriority w:val="99"/>
    <w:semiHidden/>
    <w:rsid w:val="008A02A4"/>
    <w:rPr>
      <w:sz w:val="20"/>
      <w:szCs w:val="20"/>
    </w:rPr>
  </w:style>
  <w:style w:type="character" w:styleId="FootnoteReference">
    <w:name w:val="footnote reference"/>
    <w:basedOn w:val="DefaultParagraphFont"/>
    <w:uiPriority w:val="99"/>
    <w:semiHidden/>
    <w:unhideWhenUsed/>
    <w:rsid w:val="008A02A4"/>
    <w:rPr>
      <w:vertAlign w:val="superscript"/>
    </w:rPr>
  </w:style>
  <w:style w:type="character" w:styleId="Hyperlink">
    <w:name w:val="Hyperlink"/>
    <w:basedOn w:val="DefaultParagraphFont"/>
    <w:uiPriority w:val="99"/>
    <w:unhideWhenUsed/>
    <w:rsid w:val="008A02A4"/>
    <w:rPr>
      <w:color w:val="0000FF" w:themeColor="hyperlink"/>
      <w:u w:val="single"/>
    </w:rPr>
  </w:style>
  <w:style w:type="character" w:styleId="UnresolvedMention">
    <w:name w:val="Unresolved Mention"/>
    <w:basedOn w:val="DefaultParagraphFont"/>
    <w:uiPriority w:val="99"/>
    <w:semiHidden/>
    <w:unhideWhenUsed/>
    <w:rsid w:val="008A02A4"/>
    <w:rPr>
      <w:color w:val="605E5C"/>
      <w:shd w:val="clear" w:color="auto" w:fill="E1DFDD"/>
    </w:rPr>
  </w:style>
  <w:style w:type="paragraph" w:styleId="Revision">
    <w:name w:val="Revision"/>
    <w:hidden/>
    <w:uiPriority w:val="99"/>
    <w:semiHidden/>
    <w:rsid w:val="002569AE"/>
    <w:pPr>
      <w:spacing w:after="0"/>
      <w:ind w:right="0"/>
      <w:jc w:val="left"/>
    </w:pPr>
  </w:style>
  <w:style w:type="paragraph" w:styleId="CommentSubject">
    <w:name w:val="annotation subject"/>
    <w:basedOn w:val="CommentText"/>
    <w:next w:val="CommentText"/>
    <w:link w:val="CommentSubjectChar"/>
    <w:uiPriority w:val="99"/>
    <w:semiHidden/>
    <w:unhideWhenUsed/>
    <w:rsid w:val="002569AE"/>
    <w:rPr>
      <w:b/>
      <w:bCs/>
    </w:rPr>
  </w:style>
  <w:style w:type="character" w:customStyle="1" w:styleId="CommentSubjectChar">
    <w:name w:val="Comment Subject Char"/>
    <w:basedOn w:val="CommentTextChar"/>
    <w:link w:val="CommentSubject"/>
    <w:uiPriority w:val="99"/>
    <w:semiHidden/>
    <w:rsid w:val="002569AE"/>
    <w:rPr>
      <w:b/>
      <w:bCs/>
      <w:sz w:val="20"/>
      <w:szCs w:val="20"/>
    </w:rPr>
  </w:style>
  <w:style w:type="paragraph" w:styleId="Header">
    <w:name w:val="header"/>
    <w:basedOn w:val="Normal"/>
    <w:link w:val="HeaderChar"/>
    <w:uiPriority w:val="99"/>
    <w:unhideWhenUsed/>
    <w:rsid w:val="00C51AAA"/>
    <w:pPr>
      <w:tabs>
        <w:tab w:val="center" w:pos="4513"/>
        <w:tab w:val="right" w:pos="9026"/>
      </w:tabs>
      <w:spacing w:after="0"/>
    </w:pPr>
  </w:style>
  <w:style w:type="character" w:customStyle="1" w:styleId="HeaderChar">
    <w:name w:val="Header Char"/>
    <w:basedOn w:val="DefaultParagraphFont"/>
    <w:link w:val="Header"/>
    <w:uiPriority w:val="99"/>
    <w:rsid w:val="00C51AAA"/>
  </w:style>
  <w:style w:type="paragraph" w:styleId="Footer">
    <w:name w:val="footer"/>
    <w:basedOn w:val="Normal"/>
    <w:link w:val="FooterChar"/>
    <w:uiPriority w:val="99"/>
    <w:unhideWhenUsed/>
    <w:rsid w:val="00C51AAA"/>
    <w:pPr>
      <w:tabs>
        <w:tab w:val="center" w:pos="4513"/>
        <w:tab w:val="right" w:pos="9026"/>
      </w:tabs>
      <w:spacing w:after="0"/>
    </w:pPr>
  </w:style>
  <w:style w:type="character" w:customStyle="1" w:styleId="FooterChar">
    <w:name w:val="Footer Char"/>
    <w:basedOn w:val="DefaultParagraphFont"/>
    <w:link w:val="Footer"/>
    <w:uiPriority w:val="99"/>
    <w:rsid w:val="00C51AAA"/>
  </w:style>
  <w:style w:type="paragraph" w:styleId="NormalWeb">
    <w:name w:val="Normal (Web)"/>
    <w:basedOn w:val="Normal"/>
    <w:uiPriority w:val="99"/>
    <w:unhideWhenUsed/>
    <w:rsid w:val="007F7589"/>
    <w:pPr>
      <w:spacing w:before="100" w:beforeAutospacing="1" w:after="100" w:afterAutospacing="1"/>
      <w:ind w:right="0"/>
      <w:jc w:val="left"/>
    </w:pPr>
    <w:rPr>
      <w:rFonts w:ascii="Times New Roman" w:eastAsia="Times New Roman" w:hAnsi="Times New Roman" w:cs="Times New Roman"/>
      <w:sz w:val="24"/>
      <w:szCs w:val="24"/>
      <w:lang w:val="es-ES"/>
    </w:rPr>
  </w:style>
  <w:style w:type="character" w:styleId="FollowedHyperlink">
    <w:name w:val="FollowedHyperlink"/>
    <w:basedOn w:val="DefaultParagraphFont"/>
    <w:uiPriority w:val="99"/>
    <w:semiHidden/>
    <w:unhideWhenUsed/>
    <w:rsid w:val="007F14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68574">
      <w:bodyDiv w:val="1"/>
      <w:marLeft w:val="0"/>
      <w:marRight w:val="0"/>
      <w:marTop w:val="0"/>
      <w:marBottom w:val="0"/>
      <w:divBdr>
        <w:top w:val="none" w:sz="0" w:space="0" w:color="auto"/>
        <w:left w:val="none" w:sz="0" w:space="0" w:color="auto"/>
        <w:bottom w:val="none" w:sz="0" w:space="0" w:color="auto"/>
        <w:right w:val="none" w:sz="0" w:space="0" w:color="auto"/>
      </w:divBdr>
    </w:div>
    <w:div w:id="1073241326">
      <w:bodyDiv w:val="1"/>
      <w:marLeft w:val="0"/>
      <w:marRight w:val="0"/>
      <w:marTop w:val="0"/>
      <w:marBottom w:val="0"/>
      <w:divBdr>
        <w:top w:val="none" w:sz="0" w:space="0" w:color="auto"/>
        <w:left w:val="none" w:sz="0" w:space="0" w:color="auto"/>
        <w:bottom w:val="none" w:sz="0" w:space="0" w:color="auto"/>
        <w:right w:val="none" w:sz="0" w:space="0" w:color="auto"/>
      </w:divBdr>
    </w:div>
    <w:div w:id="1478452101">
      <w:bodyDiv w:val="1"/>
      <w:marLeft w:val="0"/>
      <w:marRight w:val="0"/>
      <w:marTop w:val="0"/>
      <w:marBottom w:val="0"/>
      <w:divBdr>
        <w:top w:val="none" w:sz="0" w:space="0" w:color="auto"/>
        <w:left w:val="none" w:sz="0" w:space="0" w:color="auto"/>
        <w:bottom w:val="none" w:sz="0" w:space="0" w:color="auto"/>
        <w:right w:val="none" w:sz="0" w:space="0" w:color="auto"/>
      </w:divBdr>
    </w:div>
    <w:div w:id="1521240924">
      <w:bodyDiv w:val="1"/>
      <w:marLeft w:val="0"/>
      <w:marRight w:val="0"/>
      <w:marTop w:val="0"/>
      <w:marBottom w:val="0"/>
      <w:divBdr>
        <w:top w:val="none" w:sz="0" w:space="0" w:color="auto"/>
        <w:left w:val="none" w:sz="0" w:space="0" w:color="auto"/>
        <w:bottom w:val="none" w:sz="0" w:space="0" w:color="auto"/>
        <w:right w:val="none" w:sz="0" w:space="0" w:color="auto"/>
      </w:divBdr>
    </w:div>
    <w:div w:id="1854803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ttc.org/PDFFiles/Resolutions/IATTC/_English/C-20-06-Active_Consevation%20Tropical%20Tunas%20in%20the%20EPO%20during%202021%20Pursuant%20to%20RES%20C-20-05.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cpfc.int/file/265474/download?token=34S5G9E_"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otc.org/sites/default/files/documents/compliance/cmm/iotc_cmm_1902.pdf" TargetMode="External"/><Relationship Id="rId4" Type="http://schemas.openxmlformats.org/officeDocument/2006/relationships/settings" Target="settings.xml"/><Relationship Id="rId9" Type="http://schemas.openxmlformats.org/officeDocument/2006/relationships/hyperlink" Target="https://www.iccat.int/Documents/Recs/compendiopdf-e/2019-02-e.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ldac.eu/images/EC_Reply_joint_advice_Maritime_sector__a_green_post-COVID_future_22Dec2020.pdf%20"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5F9DC-A75B-9D4D-9B3C-FB347F135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41</Pages>
  <Words>13960</Words>
  <Characters>79578</Characters>
  <Application>Microsoft Office Word</Application>
  <DocSecurity>0</DocSecurity>
  <Lines>663</Lines>
  <Paragraphs>186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93352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MANUELA</dc:creator>
  <cp:lastModifiedBy>Joelle Philippe</cp:lastModifiedBy>
  <cp:revision>3</cp:revision>
  <cp:lastPrinted>2021-04-24T13:08:00Z</cp:lastPrinted>
  <dcterms:created xsi:type="dcterms:W3CDTF">2021-05-31T11:05:00Z</dcterms:created>
  <dcterms:modified xsi:type="dcterms:W3CDTF">2021-05-31T13:04:00Z</dcterms:modified>
</cp:coreProperties>
</file>